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3076" w:tblpY="1350"/>
        <w:tblW w:w="106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7660"/>
      </w:tblGrid>
      <w:tr w:rsidR="00D5620A" w:rsidRPr="00D5620A" w14:paraId="496F4E6E" w14:textId="77777777" w:rsidTr="00D5620A">
        <w:trPr>
          <w:trHeight w:val="537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9C407" w14:textId="77777777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bookmarkStart w:id="0" w:name="_Toc400361362"/>
            <w:bookmarkStart w:id="1" w:name="_Toc443397153"/>
            <w:bookmarkStart w:id="2" w:name="_Toc357771638"/>
            <w:bookmarkStart w:id="3" w:name="_Toc346793416"/>
            <w:bookmarkStart w:id="4" w:name="_Toc328122777"/>
            <w:r w:rsidRPr="00D5620A">
              <w:rPr>
                <w:rFonts w:cs="Arial"/>
                <w:b/>
                <w:bCs/>
                <w:color w:val="auto"/>
                <w:sz w:val="22"/>
                <w:szCs w:val="22"/>
              </w:rPr>
              <w:t>Name of Policy</w:t>
            </w:r>
            <w:r w:rsidRPr="00D5620A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20AA6" w14:textId="6FE3652C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auto"/>
                <w:sz w:val="18"/>
                <w:szCs w:val="18"/>
              </w:rPr>
            </w:pPr>
            <w:r w:rsidRPr="00D5620A">
              <w:rPr>
                <w:b/>
                <w:bCs/>
              </w:rPr>
              <w:t xml:space="preserve">Pupil premium strategy statement  </w:t>
            </w:r>
          </w:p>
        </w:tc>
      </w:tr>
      <w:tr w:rsidR="00D5620A" w:rsidRPr="00D5620A" w14:paraId="18489B38" w14:textId="77777777" w:rsidTr="00D5620A">
        <w:trPr>
          <w:trHeight w:val="537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0C0C8" w14:textId="77777777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5620A">
              <w:rPr>
                <w:rFonts w:cs="Arial"/>
                <w:b/>
                <w:bCs/>
                <w:color w:val="auto"/>
                <w:sz w:val="22"/>
                <w:szCs w:val="22"/>
              </w:rPr>
              <w:t>School </w:t>
            </w:r>
            <w:proofErr w:type="gramStart"/>
            <w:r w:rsidRPr="00D5620A">
              <w:rPr>
                <w:rFonts w:cs="Arial"/>
                <w:b/>
                <w:bCs/>
                <w:color w:val="auto"/>
                <w:sz w:val="22"/>
                <w:szCs w:val="22"/>
              </w:rPr>
              <w:t>Lead</w:t>
            </w:r>
            <w:proofErr w:type="gramEnd"/>
            <w:r w:rsidRPr="00D5620A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084EF" w14:textId="2F7FDA75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Steve Barnes</w:t>
            </w:r>
          </w:p>
        </w:tc>
      </w:tr>
      <w:tr w:rsidR="00D5620A" w:rsidRPr="00D5620A" w14:paraId="31F4BB98" w14:textId="77777777" w:rsidTr="00D5620A">
        <w:trPr>
          <w:trHeight w:val="537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77761" w14:textId="77777777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5620A">
              <w:rPr>
                <w:rFonts w:cs="Arial"/>
                <w:b/>
                <w:bCs/>
                <w:color w:val="auto"/>
                <w:sz w:val="22"/>
                <w:szCs w:val="22"/>
              </w:rPr>
              <w:t>Governor </w:t>
            </w:r>
            <w:proofErr w:type="gramStart"/>
            <w:r w:rsidRPr="00D5620A">
              <w:rPr>
                <w:rFonts w:cs="Arial"/>
                <w:b/>
                <w:bCs/>
                <w:color w:val="auto"/>
                <w:sz w:val="22"/>
                <w:szCs w:val="22"/>
              </w:rPr>
              <w:t>Lead</w:t>
            </w:r>
            <w:proofErr w:type="gramEnd"/>
            <w:r w:rsidRPr="00D5620A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B9B61" w14:textId="7FA627E5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FGB</w:t>
            </w:r>
          </w:p>
        </w:tc>
      </w:tr>
      <w:tr w:rsidR="00D5620A" w:rsidRPr="00D5620A" w14:paraId="546C1FBE" w14:textId="77777777" w:rsidTr="00D5620A">
        <w:trPr>
          <w:trHeight w:val="537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D8A84" w14:textId="77777777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5620A">
              <w:rPr>
                <w:rFonts w:cs="Arial"/>
                <w:b/>
                <w:bCs/>
                <w:color w:val="auto"/>
                <w:sz w:val="22"/>
                <w:szCs w:val="22"/>
              </w:rPr>
              <w:t>Date of last Review</w:t>
            </w:r>
            <w:r w:rsidRPr="00D5620A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7AAB1" w14:textId="7F3901B1" w:rsidR="00D5620A" w:rsidRPr="00D5620A" w:rsidRDefault="009F5F47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01.12.24</w:t>
            </w:r>
          </w:p>
        </w:tc>
      </w:tr>
      <w:tr w:rsidR="00D5620A" w:rsidRPr="00D5620A" w14:paraId="6117FFD0" w14:textId="77777777" w:rsidTr="00D5620A">
        <w:trPr>
          <w:trHeight w:val="537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A94E3" w14:textId="77777777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5620A">
              <w:rPr>
                <w:rFonts w:cs="Arial"/>
                <w:b/>
                <w:bCs/>
                <w:color w:val="auto"/>
                <w:sz w:val="22"/>
                <w:szCs w:val="22"/>
              </w:rPr>
              <w:t>Date of Approval</w:t>
            </w:r>
            <w:r w:rsidRPr="00D5620A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EB2A3" w14:textId="40F6C177" w:rsidR="00D5620A" w:rsidRPr="00D5620A" w:rsidRDefault="009F5F47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10.03.26</w:t>
            </w:r>
          </w:p>
        </w:tc>
      </w:tr>
      <w:tr w:rsidR="00D5620A" w:rsidRPr="00D5620A" w14:paraId="503B98F8" w14:textId="77777777" w:rsidTr="00D5620A">
        <w:trPr>
          <w:trHeight w:val="537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DBE47" w14:textId="77777777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5620A">
              <w:rPr>
                <w:rFonts w:cs="Arial"/>
                <w:b/>
                <w:bCs/>
                <w:color w:val="auto"/>
                <w:sz w:val="22"/>
                <w:szCs w:val="22"/>
              </w:rPr>
              <w:t>Date of next Review</w:t>
            </w:r>
            <w:r w:rsidRPr="00D5620A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9A354" w14:textId="50A32DD7" w:rsidR="00D5620A" w:rsidRPr="00D5620A" w:rsidRDefault="009F5F47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Mar 27</w:t>
            </w:r>
          </w:p>
        </w:tc>
      </w:tr>
      <w:tr w:rsidR="00D5620A" w:rsidRPr="00D5620A" w14:paraId="329209DC" w14:textId="77777777" w:rsidTr="00D5620A">
        <w:trPr>
          <w:trHeight w:val="537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83890" w14:textId="77777777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5620A">
              <w:rPr>
                <w:rFonts w:cs="Arial"/>
                <w:b/>
                <w:bCs/>
                <w:color w:val="auto"/>
                <w:sz w:val="22"/>
                <w:szCs w:val="22"/>
              </w:rPr>
              <w:t>Links to other policies</w:t>
            </w:r>
            <w:r w:rsidRPr="00D5620A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E63A9" w14:textId="02466A09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D5620A" w:rsidRPr="00D5620A" w14:paraId="23DC8966" w14:textId="77777777" w:rsidTr="00D5620A">
        <w:trPr>
          <w:trHeight w:val="537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110FE" w14:textId="77777777" w:rsidR="00D5620A" w:rsidRPr="00D5620A" w:rsidRDefault="00D5620A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D5620A">
              <w:rPr>
                <w:rFonts w:cs="Arial"/>
                <w:b/>
                <w:bCs/>
                <w:color w:val="auto"/>
                <w:sz w:val="22"/>
                <w:szCs w:val="22"/>
              </w:rPr>
              <w:t>FGB sign off signature and date</w:t>
            </w:r>
            <w:r w:rsidRPr="00D5620A">
              <w:rPr>
                <w:rFonts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7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B279" w14:textId="33A28A3F" w:rsidR="00D5620A" w:rsidRPr="00D5620A" w:rsidRDefault="009F5F47" w:rsidP="00D5620A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76ADF">
              <w:rPr>
                <w:noProof/>
              </w:rPr>
              <w:drawing>
                <wp:inline distT="0" distB="0" distL="0" distR="0" wp14:anchorId="5D1B4697" wp14:editId="7A6FE65E">
                  <wp:extent cx="1143000" cy="342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10.03.26</w:t>
            </w:r>
          </w:p>
        </w:tc>
      </w:tr>
    </w:tbl>
    <w:p w14:paraId="2A7D54B1" w14:textId="52FD5990" w:rsidR="00E66558" w:rsidRDefault="62A57C30" w:rsidP="7F0E3B2E">
      <w:pPr>
        <w:pStyle w:val="Heading1"/>
        <w:jc w:val="center"/>
      </w:pPr>
      <w:r>
        <w:lastRenderedPageBreak/>
        <w:t xml:space="preserve">   </w:t>
      </w:r>
      <w:r w:rsidR="49321731"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3771EBE2">
        <w:t xml:space="preserve"> </w:t>
      </w:r>
      <w:r w:rsidR="31AB23DC">
        <w:t xml:space="preserve"> </w:t>
      </w:r>
    </w:p>
    <w:p w14:paraId="12186EDF" w14:textId="3187BE64" w:rsidR="00E66558" w:rsidRDefault="4875A141" w:rsidP="7F0E3B2E">
      <w:pPr>
        <w:spacing w:after="0"/>
        <w:rPr>
          <w:rFonts w:eastAsia="Arial" w:cs="Arial"/>
          <w:color w:val="0D0D0D" w:themeColor="text1" w:themeTint="F2"/>
        </w:rPr>
      </w:pPr>
      <w:r w:rsidRPr="7F0E3B2E">
        <w:rPr>
          <w:rFonts w:eastAsia="Arial" w:cs="Arial"/>
          <w:color w:val="0D0D0D" w:themeColor="text1" w:themeTint="F2"/>
        </w:rPr>
        <w:t xml:space="preserve">This statement details our school’s use of pupil premium funding to help improve the attainment of our disadvantaged pupils. </w:t>
      </w:r>
    </w:p>
    <w:p w14:paraId="73E53F2E" w14:textId="5D42D45C" w:rsidR="00E66558" w:rsidRDefault="4875A141" w:rsidP="7F0E3B2E">
      <w:pPr>
        <w:rPr>
          <w:rFonts w:eastAsia="Arial" w:cs="Arial"/>
          <w:color w:val="0D0D0D" w:themeColor="text1" w:themeTint="F2"/>
        </w:rPr>
      </w:pPr>
      <w:r w:rsidRPr="7F0E3B2E">
        <w:rPr>
          <w:rFonts w:eastAsia="Arial" w:cs="Arial"/>
          <w:color w:val="0D0D0D" w:themeColor="text1" w:themeTint="F2"/>
        </w:rPr>
        <w:t>It outlines our pupil premium strategy, how we intend to spend the funding in this academic year and the outcomes for disadvantaged pupils last academic year.</w:t>
      </w:r>
    </w:p>
    <w:p w14:paraId="30F48EE7" w14:textId="035CD443" w:rsidR="00E66558" w:rsidRDefault="4875A141" w:rsidP="7F0E3B2E">
      <w:pPr>
        <w:rPr>
          <w:rFonts w:eastAsia="Arial" w:cs="Arial"/>
          <w:color w:val="0D0D0D" w:themeColor="text1" w:themeTint="F2"/>
        </w:rPr>
      </w:pPr>
      <w:r w:rsidRPr="7F0E3B2E">
        <w:rPr>
          <w:rFonts w:eastAsia="Arial" w:cs="Arial"/>
          <w:color w:val="0D0D0D" w:themeColor="text1" w:themeTint="F2"/>
        </w:rPr>
        <w:t xml:space="preserve">It has been </w:t>
      </w:r>
      <w:r w:rsidR="660958A2" w:rsidRPr="7F0E3B2E">
        <w:rPr>
          <w:rFonts w:eastAsia="Arial" w:cs="Arial"/>
          <w:color w:val="0D0D0D" w:themeColor="text1" w:themeTint="F2"/>
        </w:rPr>
        <w:t>written</w:t>
      </w:r>
      <w:r w:rsidRPr="7F0E3B2E">
        <w:rPr>
          <w:rFonts w:eastAsia="Arial" w:cs="Arial"/>
          <w:color w:val="0D0D0D" w:themeColor="text1" w:themeTint="F2"/>
        </w:rPr>
        <w:t xml:space="preserve"> </w:t>
      </w:r>
      <w:r w:rsidR="0D4A6C0A" w:rsidRPr="7F0E3B2E">
        <w:rPr>
          <w:rFonts w:eastAsia="Arial" w:cs="Arial"/>
          <w:color w:val="0D0D0D" w:themeColor="text1" w:themeTint="F2"/>
        </w:rPr>
        <w:t>within the context</w:t>
      </w:r>
      <w:r w:rsidRPr="7F0E3B2E">
        <w:rPr>
          <w:rFonts w:eastAsia="Arial" w:cs="Arial"/>
          <w:color w:val="0D0D0D" w:themeColor="text1" w:themeTint="F2"/>
        </w:rPr>
        <w:t xml:space="preserve"> of our </w:t>
      </w:r>
      <w:r w:rsidR="736C2C49" w:rsidRPr="7F0E3B2E">
        <w:rPr>
          <w:rFonts w:eastAsia="Arial" w:cs="Arial"/>
          <w:color w:val="0D0D0D" w:themeColor="text1" w:themeTint="F2"/>
        </w:rPr>
        <w:t xml:space="preserve">wider </w:t>
      </w:r>
      <w:r w:rsidR="4AE52649" w:rsidRPr="7F0E3B2E">
        <w:rPr>
          <w:rFonts w:eastAsia="Arial" w:cs="Arial"/>
          <w:color w:val="0D0D0D" w:themeColor="text1" w:themeTint="F2"/>
        </w:rPr>
        <w:t xml:space="preserve">Disadvantaged Pupil Strategy which recognises that many of our pupils face multiple areas of disadvantage and </w:t>
      </w:r>
      <w:r w:rsidR="158F8B05" w:rsidRPr="7F0E3B2E">
        <w:rPr>
          <w:rFonts w:eastAsia="Arial" w:cs="Arial"/>
          <w:color w:val="0D0D0D" w:themeColor="text1" w:themeTint="F2"/>
        </w:rPr>
        <w:t xml:space="preserve">thus </w:t>
      </w:r>
      <w:r w:rsidR="654A47EC" w:rsidRPr="7F0E3B2E">
        <w:rPr>
          <w:rFonts w:eastAsia="Arial" w:cs="Arial"/>
          <w:color w:val="0D0D0D" w:themeColor="text1" w:themeTint="F2"/>
        </w:rPr>
        <w:t>aims to</w:t>
      </w:r>
      <w:r w:rsidR="597A4D5F" w:rsidRPr="7F0E3B2E">
        <w:rPr>
          <w:rFonts w:eastAsia="Arial" w:cs="Arial"/>
          <w:color w:val="0D0D0D" w:themeColor="text1" w:themeTint="F2"/>
        </w:rPr>
        <w:t xml:space="preserve"> deliver </w:t>
      </w:r>
      <w:r w:rsidR="654A47EC" w:rsidRPr="7F0E3B2E">
        <w:rPr>
          <w:rFonts w:eastAsia="Arial" w:cs="Arial"/>
          <w:color w:val="0D0D0D" w:themeColor="text1" w:themeTint="F2"/>
        </w:rPr>
        <w:t xml:space="preserve">a range of </w:t>
      </w:r>
      <w:r w:rsidR="6C7041C1" w:rsidRPr="7F0E3B2E">
        <w:rPr>
          <w:rFonts w:eastAsia="Arial" w:cs="Arial"/>
          <w:color w:val="0D0D0D" w:themeColor="text1" w:themeTint="F2"/>
        </w:rPr>
        <w:t xml:space="preserve">support </w:t>
      </w:r>
      <w:r w:rsidR="654A47EC" w:rsidRPr="7F0E3B2E">
        <w:rPr>
          <w:rFonts w:eastAsia="Arial" w:cs="Arial"/>
          <w:color w:val="0D0D0D" w:themeColor="text1" w:themeTint="F2"/>
        </w:rPr>
        <w:t xml:space="preserve">across </w:t>
      </w:r>
      <w:r w:rsidR="10FF39BE" w:rsidRPr="7F0E3B2E">
        <w:rPr>
          <w:rFonts w:eastAsia="Arial" w:cs="Arial"/>
          <w:color w:val="0D0D0D" w:themeColor="text1" w:themeTint="F2"/>
        </w:rPr>
        <w:t>academic and social development.</w:t>
      </w:r>
    </w:p>
    <w:p w14:paraId="5C8C0AB6" w14:textId="003593B9" w:rsidR="00E66558" w:rsidRDefault="6BC98165" w:rsidP="7F0E3B2E">
      <w:pPr>
        <w:rPr>
          <w:rFonts w:eastAsia="Arial" w:cs="Arial"/>
          <w:color w:val="0D0D0D" w:themeColor="text1" w:themeTint="F2"/>
        </w:rPr>
      </w:pPr>
      <w:r w:rsidRPr="7F0E3B2E">
        <w:rPr>
          <w:rFonts w:eastAsia="Arial" w:cs="Arial"/>
          <w:color w:val="0D0D0D" w:themeColor="text1" w:themeTint="F2"/>
        </w:rPr>
        <w:t>Given our context as a community hospital special school, all pupils who join us have faced significant health and attendance barriers prior to referral.</w:t>
      </w:r>
      <w:r w:rsidR="65F5F648" w:rsidRPr="7F0E3B2E">
        <w:rPr>
          <w:rFonts w:eastAsia="Arial" w:cs="Arial"/>
          <w:color w:val="0D0D0D" w:themeColor="text1" w:themeTint="F2"/>
        </w:rPr>
        <w:t xml:space="preserve"> The long-term impact of covid is seen a</w:t>
      </w:r>
      <w:r w:rsidR="035BC39B" w:rsidRPr="7F0E3B2E">
        <w:rPr>
          <w:rFonts w:eastAsia="Arial" w:cs="Arial"/>
          <w:color w:val="0D0D0D" w:themeColor="text1" w:themeTint="F2"/>
        </w:rPr>
        <w:t xml:space="preserve">cross the cohort </w:t>
      </w:r>
      <w:r w:rsidR="65F5F648" w:rsidRPr="7F0E3B2E">
        <w:rPr>
          <w:rFonts w:eastAsia="Arial" w:cs="Arial"/>
          <w:color w:val="0D0D0D" w:themeColor="text1" w:themeTint="F2"/>
        </w:rPr>
        <w:t xml:space="preserve">via gaps in social and academic </w:t>
      </w:r>
      <w:r w:rsidR="53FC17E0" w:rsidRPr="7F0E3B2E">
        <w:rPr>
          <w:rFonts w:eastAsia="Arial" w:cs="Arial"/>
          <w:color w:val="0D0D0D" w:themeColor="text1" w:themeTint="F2"/>
        </w:rPr>
        <w:t>understanding and confidence.</w:t>
      </w:r>
    </w:p>
    <w:p w14:paraId="2A7D54B4" w14:textId="72CF2B82" w:rsidR="00E66558" w:rsidRDefault="49321731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154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5"/>
        <w:gridCol w:w="8460"/>
      </w:tblGrid>
      <w:tr w:rsidR="00E66558" w14:paraId="2A7D54B7" w14:textId="77777777" w:rsidTr="7F0E3B2E"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7F0E3B2E"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E4C52DD" w:rsidR="002940F3" w:rsidRDefault="002940F3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414BB009" w:rsidR="002940F3" w:rsidRDefault="31AB23DC">
            <w:pPr>
              <w:pStyle w:val="TableRow"/>
            </w:pPr>
            <w:r>
              <w:t xml:space="preserve">Up to 150 </w:t>
            </w:r>
            <w:r w:rsidR="5168E11A">
              <w:t>(</w:t>
            </w:r>
            <w:r w:rsidR="7D73A593">
              <w:t xml:space="preserve">pupils </w:t>
            </w:r>
            <w:r w:rsidR="5168E11A">
              <w:t>join</w:t>
            </w:r>
            <w:r w:rsidR="4C3ADC86">
              <w:t xml:space="preserve"> at various points </w:t>
            </w:r>
            <w:r w:rsidR="5168E11A">
              <w:t xml:space="preserve">throughout </w:t>
            </w:r>
            <w:r w:rsidR="1A899081">
              <w:t xml:space="preserve">the </w:t>
            </w:r>
            <w:r w:rsidR="5168E11A">
              <w:t>year)</w:t>
            </w:r>
          </w:p>
        </w:tc>
      </w:tr>
      <w:tr w:rsidR="002940F3" w14:paraId="2A7D54BD" w14:textId="77777777" w:rsidTr="7F0E3B2E"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5AA14DE8" w:rsidR="002940F3" w:rsidRDefault="7CD1CB43">
            <w:pPr>
              <w:pStyle w:val="TableRow"/>
            </w:pPr>
            <w:r>
              <w:t xml:space="preserve">Variable due to transient nature of the school roll. </w:t>
            </w:r>
            <w:r w:rsidR="45CD43CB">
              <w:t>Usually,</w:t>
            </w:r>
            <w:r w:rsidR="60D62B04">
              <w:t xml:space="preserve"> </w:t>
            </w:r>
            <w:proofErr w:type="spellStart"/>
            <w:r w:rsidR="60D62B04">
              <w:t>approx</w:t>
            </w:r>
            <w:proofErr w:type="spellEnd"/>
            <w:r w:rsidR="60D62B04">
              <w:t xml:space="preserve"> 35% cohort</w:t>
            </w:r>
            <w:r w:rsidR="69D35F74">
              <w:t xml:space="preserve"> although this is increasing and in December 2025 sits at 42%</w:t>
            </w:r>
          </w:p>
        </w:tc>
      </w:tr>
      <w:tr w:rsidR="002940F3" w14:paraId="2A7D54C0" w14:textId="77777777" w:rsidTr="7F0E3B2E"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096EFD05" w:rsidR="002940F3" w:rsidRDefault="4C9A0625">
            <w:pPr>
              <w:pStyle w:val="TableRow"/>
            </w:pPr>
            <w:r>
              <w:t xml:space="preserve">Academic year/years that our current pupil premium strategy plan covers </w:t>
            </w:r>
            <w:r w:rsidRPr="7F0E3B2E">
              <w:rPr>
                <w:b/>
                <w:bCs/>
              </w:rPr>
              <w:t>(</w:t>
            </w:r>
            <w:r w:rsidR="1840F159" w:rsidRPr="7F0E3B2E">
              <w:rPr>
                <w:b/>
                <w:bCs/>
              </w:rPr>
              <w:t>3-year</w:t>
            </w:r>
            <w:r w:rsidRPr="7F0E3B2E">
              <w:rPr>
                <w:b/>
                <w:bCs/>
              </w:rPr>
              <w:t xml:space="preserve"> plans are recommended)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3073" w14:textId="69D6E7E0" w:rsidR="002940F3" w:rsidRDefault="29FD2FDF">
            <w:pPr>
              <w:pStyle w:val="TableRow"/>
            </w:pPr>
            <w:r>
              <w:t>2025-26</w:t>
            </w:r>
          </w:p>
          <w:p w14:paraId="6DA952CB" w14:textId="71FA26D1" w:rsidR="002940F3" w:rsidRDefault="29FD2FDF">
            <w:pPr>
              <w:pStyle w:val="TableRow"/>
            </w:pPr>
            <w:r>
              <w:t>2026-27</w:t>
            </w:r>
          </w:p>
          <w:p w14:paraId="2A7D54BF" w14:textId="00E1ECE6" w:rsidR="002940F3" w:rsidRDefault="29FD2FDF">
            <w:pPr>
              <w:pStyle w:val="TableRow"/>
            </w:pPr>
            <w:r>
              <w:t>2027-28</w:t>
            </w:r>
          </w:p>
        </w:tc>
      </w:tr>
      <w:tr w:rsidR="002940F3" w14:paraId="2A7D54C3" w14:textId="77777777" w:rsidTr="7F0E3B2E"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37810E5D" w:rsidR="002940F3" w:rsidRDefault="31AB23DC">
            <w:pPr>
              <w:pStyle w:val="TableRow"/>
            </w:pPr>
            <w:r>
              <w:t>December 20</w:t>
            </w:r>
            <w:r w:rsidR="42FDCEDA">
              <w:t>25</w:t>
            </w:r>
          </w:p>
        </w:tc>
      </w:tr>
      <w:tr w:rsidR="002940F3" w14:paraId="2A7D54C6" w14:textId="77777777" w:rsidTr="7F0E3B2E"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5C2A7D52" w:rsidR="002940F3" w:rsidRDefault="21E55E34" w:rsidP="45D2CA4F">
            <w:pPr>
              <w:pStyle w:val="TableRow"/>
            </w:pPr>
            <w:r>
              <w:t>September 202</w:t>
            </w:r>
            <w:r w:rsidR="090766D3">
              <w:t>6</w:t>
            </w:r>
          </w:p>
        </w:tc>
      </w:tr>
      <w:tr w:rsidR="002940F3" w14:paraId="2A7D54C9" w14:textId="77777777" w:rsidTr="7F0E3B2E"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>
            <w:pPr>
              <w:pStyle w:val="TableRow"/>
            </w:pPr>
            <w:r>
              <w:t>Statement authorised by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7F7342B4" w:rsidR="002940F3" w:rsidRDefault="00540D31">
            <w:pPr>
              <w:pStyle w:val="TableRow"/>
            </w:pPr>
            <w:r>
              <w:t xml:space="preserve">Head teacher </w:t>
            </w:r>
          </w:p>
        </w:tc>
      </w:tr>
      <w:tr w:rsidR="002940F3" w14:paraId="2A7D54CC" w14:textId="77777777" w:rsidTr="7F0E3B2E"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>
            <w:pPr>
              <w:pStyle w:val="TableRow"/>
            </w:pPr>
            <w:r>
              <w:t>Pupil premium lead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2E5BF0D5" w:rsidR="002940F3" w:rsidRDefault="2C7659AC">
            <w:pPr>
              <w:pStyle w:val="TableRow"/>
            </w:pPr>
            <w:r>
              <w:t xml:space="preserve">SENDCO in </w:t>
            </w:r>
            <w:r w:rsidR="3A405615">
              <w:t>liaison</w:t>
            </w:r>
            <w:r>
              <w:t xml:space="preserve"> with Executive Assistant Head Teacher </w:t>
            </w:r>
          </w:p>
        </w:tc>
      </w:tr>
      <w:tr w:rsidR="002940F3" w14:paraId="2A7D54CF" w14:textId="77777777" w:rsidTr="7F0E3B2E"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>
            <w:pPr>
              <w:pStyle w:val="TableRow"/>
            </w:pPr>
            <w:r>
              <w:lastRenderedPageBreak/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38807409" w:rsidR="002940F3" w:rsidRDefault="288B0B65" w:rsidP="45D2CA4F">
            <w:pPr>
              <w:pStyle w:val="TableRow"/>
            </w:pPr>
            <w:r>
              <w:t>Full Governing body</w:t>
            </w:r>
          </w:p>
        </w:tc>
      </w:tr>
    </w:tbl>
    <w:bookmarkEnd w:id="2"/>
    <w:bookmarkEnd w:id="3"/>
    <w:bookmarkEnd w:id="4"/>
    <w:p w14:paraId="2A7D54D3" w14:textId="0CD52D4F" w:rsidR="00E66558" w:rsidRPr="005464A1" w:rsidRDefault="49321731" w:rsidP="005464A1">
      <w:pPr>
        <w:pStyle w:val="Heading2"/>
      </w:pPr>
      <w:r>
        <w:t>Funding overview</w:t>
      </w:r>
    </w:p>
    <w:p w14:paraId="1E44FE04" w14:textId="3282ABDC" w:rsidR="5A46EEBC" w:rsidRDefault="069100B9" w:rsidP="7F0E3B2E">
      <w:pPr>
        <w:rPr>
          <w:i/>
          <w:iCs/>
        </w:rPr>
      </w:pPr>
      <w:r w:rsidRPr="7F0E3B2E">
        <w:rPr>
          <w:i/>
          <w:iCs/>
        </w:rPr>
        <w:t>*</w:t>
      </w:r>
      <w:r w:rsidR="41BD2883" w:rsidRPr="7F0E3B2E">
        <w:rPr>
          <w:i/>
          <w:iCs/>
        </w:rPr>
        <w:t>We only receive pupil premium for those pupils who are singly registered</w:t>
      </w:r>
      <w:r w:rsidR="1CDE615D" w:rsidRPr="7F0E3B2E">
        <w:rPr>
          <w:i/>
          <w:iCs/>
        </w:rPr>
        <w:t>. T</w:t>
      </w:r>
      <w:r w:rsidRPr="7F0E3B2E">
        <w:rPr>
          <w:i/>
          <w:iCs/>
        </w:rPr>
        <w:t xml:space="preserve">he mainstream schools </w:t>
      </w:r>
      <w:r w:rsidR="48590E61" w:rsidRPr="7F0E3B2E">
        <w:rPr>
          <w:i/>
          <w:iCs/>
        </w:rPr>
        <w:t xml:space="preserve">routinely </w:t>
      </w:r>
      <w:r w:rsidRPr="7F0E3B2E">
        <w:rPr>
          <w:i/>
          <w:iCs/>
        </w:rPr>
        <w:t xml:space="preserve">retain the funding </w:t>
      </w:r>
      <w:r w:rsidR="4B2DFD20" w:rsidRPr="7F0E3B2E">
        <w:rPr>
          <w:i/>
          <w:iCs/>
        </w:rPr>
        <w:t xml:space="preserve">for dual registered pupils </w:t>
      </w:r>
      <w:r w:rsidRPr="7F0E3B2E">
        <w:rPr>
          <w:i/>
          <w:iCs/>
        </w:rPr>
        <w:t xml:space="preserve">and it is only released on request for a specific purpose, </w:t>
      </w:r>
      <w:proofErr w:type="spellStart"/>
      <w:r w:rsidRPr="7F0E3B2E">
        <w:rPr>
          <w:i/>
          <w:iCs/>
        </w:rPr>
        <w:t>eg</w:t>
      </w:r>
      <w:proofErr w:type="spellEnd"/>
      <w:r w:rsidRPr="7F0E3B2E">
        <w:rPr>
          <w:i/>
          <w:iCs/>
        </w:rPr>
        <w:t xml:space="preserve">, residential trip, </w:t>
      </w:r>
      <w:r w:rsidR="2992060E" w:rsidRPr="7F0E3B2E">
        <w:rPr>
          <w:i/>
          <w:iCs/>
        </w:rPr>
        <w:t xml:space="preserve">specific </w:t>
      </w:r>
      <w:r w:rsidRPr="7F0E3B2E">
        <w:rPr>
          <w:i/>
          <w:iCs/>
        </w:rPr>
        <w:t xml:space="preserve">resource. This makes it very difficult to predict income and allocate </w:t>
      </w:r>
      <w:r w:rsidR="37D596F1" w:rsidRPr="7F0E3B2E">
        <w:rPr>
          <w:i/>
          <w:iCs/>
        </w:rPr>
        <w:t xml:space="preserve">towards whole school </w:t>
      </w:r>
      <w:r w:rsidR="057327FD" w:rsidRPr="7F0E3B2E">
        <w:rPr>
          <w:i/>
          <w:iCs/>
        </w:rPr>
        <w:t>initiatives</w:t>
      </w:r>
      <w:r w:rsidR="1CDED7E2" w:rsidRPr="7F0E3B2E">
        <w:rPr>
          <w:i/>
          <w:iCs/>
        </w:rPr>
        <w:t>.</w:t>
      </w:r>
    </w:p>
    <w:tbl>
      <w:tblPr>
        <w:tblW w:w="153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5"/>
        <w:gridCol w:w="8196"/>
      </w:tblGrid>
      <w:tr w:rsidR="00E66558" w14:paraId="2A7D54D6" w14:textId="77777777" w:rsidTr="7F0E3B2E">
        <w:trPr>
          <w:trHeight w:val="374"/>
        </w:trPr>
        <w:tc>
          <w:tcPr>
            <w:tcW w:w="7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8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F0E3B2E">
        <w:trPr>
          <w:trHeight w:val="374"/>
        </w:trPr>
        <w:tc>
          <w:tcPr>
            <w:tcW w:w="7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8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8005" w14:textId="7DFC2DE8" w:rsidR="00E66558" w:rsidRDefault="475BA9ED" w:rsidP="080C1BA7">
            <w:pPr>
              <w:pStyle w:val="TableRow"/>
            </w:pPr>
            <w:r>
              <w:t>£2150</w:t>
            </w:r>
          </w:p>
          <w:p w14:paraId="2A7D54D8" w14:textId="1DBC51E6" w:rsidR="00E66558" w:rsidRDefault="475BA9ED" w:rsidP="7F0E3B2E">
            <w:pPr>
              <w:pStyle w:val="TableRow"/>
              <w:rPr>
                <w:i/>
                <w:iCs/>
              </w:rPr>
            </w:pPr>
            <w:r w:rsidRPr="7F0E3B2E">
              <w:rPr>
                <w:i/>
                <w:iCs/>
              </w:rPr>
              <w:t>(plus £479.75 obtained from mainstream schools for specific pupil needs)</w:t>
            </w:r>
          </w:p>
        </w:tc>
      </w:tr>
      <w:tr w:rsidR="00E66558" w14:paraId="2A7D54DF" w14:textId="77777777" w:rsidTr="7F0E3B2E">
        <w:trPr>
          <w:trHeight w:val="374"/>
        </w:trPr>
        <w:tc>
          <w:tcPr>
            <w:tcW w:w="7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354F6FEA" w:rsidR="001E206F" w:rsidRPr="00586FBC" w:rsidRDefault="49321731" w:rsidP="7F0E3B2E">
            <w:pPr>
              <w:pStyle w:val="TableRow"/>
              <w:spacing w:after="120"/>
            </w:pPr>
            <w:r>
              <w:t>Pupil premium</w:t>
            </w:r>
            <w:r w:rsidR="5DC0C855">
              <w:t xml:space="preserve"> </w:t>
            </w:r>
            <w:r>
              <w:t xml:space="preserve">funding carried forward from previous years </w:t>
            </w:r>
            <w:r w:rsidRPr="7F0E3B2E">
              <w:rPr>
                <w:i/>
                <w:iCs/>
              </w:rPr>
              <w:t>(enter £0 if not applicable)</w:t>
            </w:r>
          </w:p>
        </w:tc>
        <w:tc>
          <w:tcPr>
            <w:tcW w:w="8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52C48502" w:rsidR="00E66558" w:rsidRDefault="6918381A" w:rsidP="080C1BA7">
            <w:pPr>
              <w:pStyle w:val="TableRow"/>
            </w:pPr>
            <w:r>
              <w:t>£</w:t>
            </w:r>
            <w:r w:rsidR="15E34FA2">
              <w:t>6.956</w:t>
            </w:r>
            <w:r>
              <w:t xml:space="preserve"> PP c/f</w:t>
            </w:r>
          </w:p>
        </w:tc>
      </w:tr>
      <w:tr w:rsidR="00E66558" w14:paraId="2A7D54E3" w14:textId="77777777" w:rsidTr="7F0E3B2E">
        <w:tc>
          <w:tcPr>
            <w:tcW w:w="7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>
            <w:pPr>
              <w:pStyle w:val="TableRow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8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C99A" w14:textId="234188C3" w:rsidR="00E66558" w:rsidRDefault="4244E655" w:rsidP="7F0E3B2E">
            <w:pPr>
              <w:pStyle w:val="TableRow"/>
              <w:ind w:left="0"/>
            </w:pPr>
            <w:r>
              <w:t>£</w:t>
            </w:r>
            <w:r w:rsidR="15F36D2C">
              <w:t>9585.75</w:t>
            </w:r>
          </w:p>
          <w:p w14:paraId="2A7D54E2" w14:textId="05263979" w:rsidR="00E66558" w:rsidRDefault="00E66558" w:rsidP="45D2CA4F">
            <w:pPr>
              <w:pStyle w:val="TableRow"/>
              <w:ind w:left="0"/>
            </w:pP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15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98"/>
      </w:tblGrid>
      <w:tr w:rsidR="00E66558" w14:paraId="2A7D54EA" w14:textId="77777777" w:rsidTr="7F0E3B2E">
        <w:tc>
          <w:tcPr>
            <w:tcW w:w="15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FB49" w14:textId="7DC971A2" w:rsidR="00E5394F" w:rsidRPr="00A31D4B" w:rsidRDefault="58AB57A6" w:rsidP="7F0E3B2E">
            <w:pPr>
              <w:spacing w:before="120"/>
              <w:rPr>
                <w:rFonts w:eastAsia="Arial" w:cs="Arial"/>
                <w:color w:val="0D0D0D" w:themeColor="text1" w:themeTint="F2"/>
              </w:rPr>
            </w:pPr>
            <w:r w:rsidRPr="7F0E3B2E">
              <w:rPr>
                <w:rFonts w:eastAsia="Arial" w:cs="Arial"/>
                <w:color w:val="0D0D0D" w:themeColor="text1" w:themeTint="F2"/>
              </w:rPr>
              <w:t xml:space="preserve">The aim of the Pupil Premium </w:t>
            </w:r>
            <w:r w:rsidR="03578AF9" w:rsidRPr="7F0E3B2E">
              <w:rPr>
                <w:rFonts w:eastAsia="Arial" w:cs="Arial"/>
                <w:color w:val="0D0D0D" w:themeColor="text1" w:themeTint="F2"/>
              </w:rPr>
              <w:t>Strategy</w:t>
            </w:r>
            <w:r w:rsidRPr="7F0E3B2E">
              <w:rPr>
                <w:rFonts w:eastAsia="Arial" w:cs="Arial"/>
                <w:color w:val="0D0D0D" w:themeColor="text1" w:themeTint="F2"/>
              </w:rPr>
              <w:t xml:space="preserve"> is to </w:t>
            </w:r>
            <w:r w:rsidR="23A14BE1" w:rsidRPr="7F0E3B2E">
              <w:rPr>
                <w:rFonts w:eastAsia="Arial" w:cs="Arial"/>
                <w:color w:val="0D0D0D" w:themeColor="text1" w:themeTint="F2"/>
              </w:rPr>
              <w:t>increase</w:t>
            </w:r>
            <w:r w:rsidRPr="7F0E3B2E">
              <w:rPr>
                <w:rFonts w:eastAsia="Arial" w:cs="Arial"/>
                <w:color w:val="0D0D0D" w:themeColor="text1" w:themeTint="F2"/>
              </w:rPr>
              <w:t xml:space="preserve"> the a</w:t>
            </w:r>
            <w:r w:rsidR="10C4C358" w:rsidRPr="7F0E3B2E">
              <w:rPr>
                <w:rFonts w:eastAsia="Arial" w:cs="Arial"/>
                <w:color w:val="0D0D0D" w:themeColor="text1" w:themeTint="F2"/>
              </w:rPr>
              <w:t>ttainment</w:t>
            </w:r>
            <w:r w:rsidRPr="7F0E3B2E">
              <w:rPr>
                <w:rFonts w:eastAsia="Arial" w:cs="Arial"/>
                <w:color w:val="0D0D0D" w:themeColor="text1" w:themeTint="F2"/>
              </w:rPr>
              <w:t xml:space="preserve"> </w:t>
            </w:r>
            <w:r w:rsidR="66492F09" w:rsidRPr="7F0E3B2E">
              <w:rPr>
                <w:rFonts w:eastAsia="Arial" w:cs="Arial"/>
                <w:color w:val="0D0D0D" w:themeColor="text1" w:themeTint="F2"/>
              </w:rPr>
              <w:t xml:space="preserve">and progress </w:t>
            </w:r>
            <w:r w:rsidR="5C785334" w:rsidRPr="7F0E3B2E">
              <w:rPr>
                <w:rFonts w:eastAsia="Arial" w:cs="Arial"/>
                <w:color w:val="0D0D0D" w:themeColor="text1" w:themeTint="F2"/>
              </w:rPr>
              <w:t>of this cohort</w:t>
            </w:r>
            <w:r w:rsidRPr="7F0E3B2E">
              <w:rPr>
                <w:rFonts w:eastAsia="Arial" w:cs="Arial"/>
                <w:color w:val="0D0D0D" w:themeColor="text1" w:themeTint="F2"/>
              </w:rPr>
              <w:t xml:space="preserve"> across the curriculum so that they are able to achieve well and secure a successful transition either to mainstream school </w:t>
            </w:r>
            <w:r w:rsidR="703C8719" w:rsidRPr="7F0E3B2E">
              <w:rPr>
                <w:rFonts w:eastAsia="Arial" w:cs="Arial"/>
                <w:color w:val="0D0D0D" w:themeColor="text1" w:themeTint="F2"/>
              </w:rPr>
              <w:t>or post 16</w:t>
            </w:r>
            <w:r w:rsidR="0ADE2ED8" w:rsidRPr="7F0E3B2E">
              <w:rPr>
                <w:rFonts w:eastAsia="Arial" w:cs="Arial"/>
                <w:color w:val="0D0D0D" w:themeColor="text1" w:themeTint="F2"/>
              </w:rPr>
              <w:t xml:space="preserve"> in line with their peers.</w:t>
            </w:r>
          </w:p>
          <w:p w14:paraId="55E4D10B" w14:textId="6A745630" w:rsidR="00E5394F" w:rsidRPr="00A31D4B" w:rsidRDefault="0ADE2ED8" w:rsidP="7F0E3B2E">
            <w:pPr>
              <w:spacing w:before="120"/>
              <w:rPr>
                <w:rFonts w:eastAsia="Arial" w:cs="Arial"/>
                <w:color w:val="0D0D0D" w:themeColor="text1" w:themeTint="F2"/>
              </w:rPr>
            </w:pPr>
            <w:r w:rsidRPr="7F0E3B2E">
              <w:rPr>
                <w:rFonts w:eastAsia="Arial" w:cs="Arial"/>
                <w:color w:val="0D0D0D" w:themeColor="text1" w:themeTint="F2"/>
              </w:rPr>
              <w:t>We aim to do this by:</w:t>
            </w:r>
          </w:p>
          <w:p w14:paraId="7F11E8D4" w14:textId="6E86F4C5" w:rsidR="00E5394F" w:rsidRPr="00A31D4B" w:rsidRDefault="0ADE2ED8" w:rsidP="7F0E3B2E">
            <w:pPr>
              <w:pStyle w:val="ListParagraph"/>
              <w:spacing w:before="120"/>
              <w:rPr>
                <w:rFonts w:eastAsia="Arial" w:cs="Arial"/>
                <w:color w:val="0D0D0D" w:themeColor="text1" w:themeTint="F2"/>
              </w:rPr>
            </w:pPr>
            <w:r w:rsidRPr="7F0E3B2E">
              <w:rPr>
                <w:rFonts w:eastAsia="Arial" w:cs="Arial"/>
                <w:color w:val="0D0D0D" w:themeColor="text1" w:themeTint="F2"/>
              </w:rPr>
              <w:t>Securing foundational knowledge</w:t>
            </w:r>
          </w:p>
          <w:p w14:paraId="6046D71B" w14:textId="27DA80D0" w:rsidR="00E5394F" w:rsidRPr="00A31D4B" w:rsidRDefault="0ADE2ED8" w:rsidP="7F0E3B2E">
            <w:pPr>
              <w:pStyle w:val="ListParagraph"/>
              <w:spacing w:before="120"/>
              <w:rPr>
                <w:rFonts w:eastAsia="Arial" w:cs="Arial"/>
                <w:color w:val="0D0D0D" w:themeColor="text1" w:themeTint="F2"/>
              </w:rPr>
            </w:pPr>
            <w:r w:rsidRPr="7F0E3B2E">
              <w:rPr>
                <w:rFonts w:eastAsia="Arial" w:cs="Arial"/>
                <w:color w:val="0D0D0D" w:themeColor="text1" w:themeTint="F2"/>
              </w:rPr>
              <w:t>Ensuring equity of access to technology</w:t>
            </w:r>
          </w:p>
          <w:p w14:paraId="2E15B1EE" w14:textId="781FC399" w:rsidR="00E5394F" w:rsidRPr="00A31D4B" w:rsidRDefault="0ADE2ED8" w:rsidP="7F0E3B2E">
            <w:pPr>
              <w:pStyle w:val="ListParagraph"/>
              <w:spacing w:before="120"/>
              <w:rPr>
                <w:rFonts w:eastAsia="Arial" w:cs="Arial"/>
                <w:color w:val="0D0D0D" w:themeColor="text1" w:themeTint="F2"/>
              </w:rPr>
            </w:pPr>
            <w:r w:rsidRPr="7F0E3B2E">
              <w:rPr>
                <w:rFonts w:eastAsia="Arial" w:cs="Arial"/>
                <w:color w:val="0D0D0D" w:themeColor="text1" w:themeTint="F2"/>
              </w:rPr>
              <w:t>Increasing aspiration</w:t>
            </w:r>
          </w:p>
          <w:p w14:paraId="2A7D54E9" w14:textId="4C2728CA" w:rsidR="00E5394F" w:rsidRPr="00A31D4B" w:rsidRDefault="0ADE2ED8" w:rsidP="7F0E3B2E">
            <w:pPr>
              <w:pStyle w:val="ListParagraph"/>
              <w:spacing w:before="120"/>
              <w:rPr>
                <w:rFonts w:eastAsia="Arial" w:cs="Arial"/>
                <w:color w:val="0D0D0D" w:themeColor="text1" w:themeTint="F2"/>
              </w:rPr>
            </w:pPr>
            <w:r w:rsidRPr="7F0E3B2E">
              <w:rPr>
                <w:rFonts w:eastAsia="Arial" w:cs="Arial"/>
                <w:color w:val="0D0D0D" w:themeColor="text1" w:themeTint="F2"/>
              </w:rPr>
              <w:t>Working with familie</w:t>
            </w:r>
            <w:r w:rsidR="2C5B6E02" w:rsidRPr="7F0E3B2E">
              <w:rPr>
                <w:rFonts w:eastAsia="Arial" w:cs="Arial"/>
                <w:color w:val="0D0D0D" w:themeColor="text1" w:themeTint="F2"/>
              </w:rPr>
              <w:t>s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154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13965"/>
      </w:tblGrid>
      <w:tr w:rsidR="00E66558" w14:paraId="2A7D54EF" w14:textId="77777777" w:rsidTr="7F0E3B2E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1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 w:rsidTr="7F0E3B2E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34514B15" w:rsidR="00E66558" w:rsidRDefault="714E4E30" w:rsidP="080C1BA7">
            <w:pPr>
              <w:pStyle w:val="TableRowCentered"/>
              <w:ind w:left="0"/>
              <w:jc w:val="left"/>
              <w:rPr>
                <w:szCs w:val="24"/>
              </w:rPr>
            </w:pPr>
            <w:r w:rsidRPr="7F0E3B2E">
              <w:rPr>
                <w:szCs w:val="24"/>
              </w:rPr>
              <w:t xml:space="preserve">Pupils not having equal access to online teaching and support resources </w:t>
            </w:r>
          </w:p>
        </w:tc>
      </w:tr>
      <w:tr w:rsidR="00E66558" w14:paraId="2A7D54F5" w14:textId="77777777" w:rsidTr="7F0E3B2E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67903A0B" w:rsidR="00E66558" w:rsidRDefault="21807A08" w:rsidP="7F0E3B2E">
            <w:pPr>
              <w:pStyle w:val="TableRowCentered"/>
              <w:ind w:left="0"/>
              <w:jc w:val="left"/>
              <w:rPr>
                <w:szCs w:val="24"/>
              </w:rPr>
            </w:pPr>
            <w:r w:rsidRPr="7F0E3B2E">
              <w:rPr>
                <w:szCs w:val="24"/>
              </w:rPr>
              <w:t>Due to missed prior learning</w:t>
            </w:r>
            <w:r w:rsidR="2B5DF815" w:rsidRPr="7F0E3B2E">
              <w:rPr>
                <w:szCs w:val="24"/>
              </w:rPr>
              <w:t xml:space="preserve"> related</w:t>
            </w:r>
            <w:r w:rsidRPr="7F0E3B2E">
              <w:rPr>
                <w:szCs w:val="24"/>
              </w:rPr>
              <w:t xml:space="preserve"> to health/social needs, pupils frequently have a weaker grasp of foundational knowledge</w:t>
            </w:r>
            <w:r w:rsidR="57610040" w:rsidRPr="7F0E3B2E">
              <w:rPr>
                <w:szCs w:val="24"/>
              </w:rPr>
              <w:t xml:space="preserve"> and skills </w:t>
            </w:r>
            <w:r w:rsidRPr="7F0E3B2E">
              <w:rPr>
                <w:szCs w:val="24"/>
              </w:rPr>
              <w:t>(reading/ w</w:t>
            </w:r>
            <w:r w:rsidR="6DDF27BE" w:rsidRPr="7F0E3B2E">
              <w:rPr>
                <w:szCs w:val="24"/>
              </w:rPr>
              <w:t>riting/ oracy/ numeracy)</w:t>
            </w:r>
          </w:p>
        </w:tc>
      </w:tr>
      <w:tr w:rsidR="00E66558" w14:paraId="2A7D54F8" w14:textId="77777777" w:rsidTr="7F0E3B2E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52C0739E" w:rsidR="00E66558" w:rsidRDefault="320D802D" w:rsidP="080C1BA7">
            <w:pPr>
              <w:pStyle w:val="TableRowCentered"/>
              <w:ind w:left="0"/>
              <w:jc w:val="left"/>
              <w:rPr>
                <w:szCs w:val="24"/>
              </w:rPr>
            </w:pPr>
            <w:r w:rsidRPr="7F0E3B2E">
              <w:rPr>
                <w:szCs w:val="24"/>
              </w:rPr>
              <w:t>Pupils not having equal access to wider world opportunities either through funding or logistical barriers such as transport</w:t>
            </w:r>
          </w:p>
        </w:tc>
      </w:tr>
      <w:tr w:rsidR="00E66558" w14:paraId="2A7D54FB" w14:textId="77777777" w:rsidTr="7F0E3B2E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6DF628E1" w:rsidR="00E66558" w:rsidRDefault="220B94DB" w:rsidP="7F0E3B2E">
            <w:pPr>
              <w:pStyle w:val="TableRowCentered"/>
              <w:ind w:left="0"/>
              <w:jc w:val="left"/>
              <w:rPr>
                <w:szCs w:val="24"/>
              </w:rPr>
            </w:pPr>
            <w:r w:rsidRPr="7F0E3B2E">
              <w:rPr>
                <w:szCs w:val="24"/>
              </w:rPr>
              <w:t xml:space="preserve">Parental engagement and prioritisation of </w:t>
            </w:r>
            <w:r w:rsidR="132A9278" w:rsidRPr="7F0E3B2E">
              <w:rPr>
                <w:szCs w:val="24"/>
              </w:rPr>
              <w:t>learning due to historic health and education barriers</w:t>
            </w:r>
          </w:p>
        </w:tc>
      </w:tr>
    </w:tbl>
    <w:p w14:paraId="34BEDBF5" w14:textId="11C2CAF2" w:rsidR="7F0E3B2E" w:rsidRDefault="7F0E3B2E">
      <w:bookmarkStart w:id="16" w:name="_Toc443397160"/>
    </w:p>
    <w:p w14:paraId="2A7D54FF" w14:textId="77777777" w:rsidR="00E66558" w:rsidRDefault="49321731">
      <w:pPr>
        <w:pStyle w:val="Heading2"/>
        <w:spacing w:before="600"/>
      </w:pPr>
      <w:r>
        <w:t xml:space="preserve">Intended outcomes </w:t>
      </w:r>
    </w:p>
    <w:p w14:paraId="2B5614F9" w14:textId="29484325" w:rsidR="0011440D" w:rsidRDefault="49321731" w:rsidP="7F0E3B2E">
      <w:pPr>
        <w:rPr>
          <w:color w:val="auto"/>
        </w:rPr>
      </w:pPr>
      <w:r w:rsidRPr="7F0E3B2E">
        <w:rPr>
          <w:color w:val="auto"/>
        </w:rPr>
        <w:t xml:space="preserve">This explains the outcomes we are aiming for </w:t>
      </w:r>
      <w:r w:rsidRPr="7F0E3B2E">
        <w:rPr>
          <w:b/>
          <w:bCs/>
          <w:color w:val="auto"/>
        </w:rPr>
        <w:t>by the end of our current strategy plan</w:t>
      </w:r>
      <w:r w:rsidRPr="7F0E3B2E">
        <w:rPr>
          <w:color w:val="auto"/>
        </w:rPr>
        <w:t>, and how we will measure whether they have been achieved.</w:t>
      </w:r>
    </w:p>
    <w:tbl>
      <w:tblPr>
        <w:tblW w:w="153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"/>
        <w:gridCol w:w="6495"/>
        <w:gridCol w:w="7965"/>
      </w:tblGrid>
      <w:tr w:rsidR="00E66558" w14:paraId="2A7D5503" w14:textId="77777777" w:rsidTr="7F0E3B2E">
        <w:trPr>
          <w:trHeight w:val="300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013F" w14:textId="4E06D37F" w:rsidR="7F0E3B2E" w:rsidRDefault="7F0E3B2E" w:rsidP="7F0E3B2E">
            <w:pPr>
              <w:pStyle w:val="TableHeader"/>
              <w:jc w:val="left"/>
            </w:pPr>
          </w:p>
        </w:tc>
        <w:tc>
          <w:tcPr>
            <w:tcW w:w="6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7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9" w14:textId="77777777" w:rsidTr="7F0E3B2E">
        <w:trPr>
          <w:trHeight w:val="300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77C3" w14:textId="5F6EACB5" w:rsidR="05D8E0DE" w:rsidRDefault="05D8E0DE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0C7D416F" w:rsidR="00E66558" w:rsidRDefault="446B83D6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 xml:space="preserve">Pupils </w:t>
            </w:r>
            <w:r w:rsidR="44DA9EAD" w:rsidRPr="7F0E3B2E">
              <w:rPr>
                <w:sz w:val="22"/>
                <w:szCs w:val="22"/>
              </w:rPr>
              <w:t>having equal access to online teaching and support resources</w:t>
            </w:r>
            <w:r w:rsidR="56391DD8" w:rsidRPr="7F0E3B2E">
              <w:rPr>
                <w:sz w:val="22"/>
                <w:szCs w:val="22"/>
              </w:rPr>
              <w:t xml:space="preserve"> and thus </w:t>
            </w:r>
            <w:proofErr w:type="gramStart"/>
            <w:r w:rsidR="56391DD8" w:rsidRPr="7F0E3B2E">
              <w:rPr>
                <w:sz w:val="22"/>
                <w:szCs w:val="22"/>
              </w:rPr>
              <w:t>high quality</w:t>
            </w:r>
            <w:proofErr w:type="gramEnd"/>
            <w:r w:rsidR="56391DD8" w:rsidRPr="7F0E3B2E">
              <w:rPr>
                <w:sz w:val="22"/>
                <w:szCs w:val="22"/>
              </w:rPr>
              <w:t xml:space="preserve"> teaching</w:t>
            </w:r>
            <w:r w:rsidR="44DA9EAD" w:rsidRPr="7F0E3B2E">
              <w:rPr>
                <w:sz w:val="22"/>
                <w:szCs w:val="22"/>
              </w:rPr>
              <w:t xml:space="preserve"> </w:t>
            </w:r>
            <w:r w:rsidR="3347539C" w:rsidRPr="7F0E3B2E">
              <w:rPr>
                <w:sz w:val="22"/>
                <w:szCs w:val="22"/>
              </w:rPr>
              <w:t>across all subject areas</w:t>
            </w:r>
          </w:p>
        </w:tc>
        <w:tc>
          <w:tcPr>
            <w:tcW w:w="7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362" w14:textId="0DEAFF20" w:rsidR="00E66558" w:rsidRDefault="2A46B9D2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Pupil premium pupils to make sustained academic progress and achieve outcomes in line with their peers</w:t>
            </w:r>
            <w:r w:rsidR="6E2D09BB" w:rsidRPr="7F0E3B2E">
              <w:rPr>
                <w:sz w:val="22"/>
                <w:szCs w:val="22"/>
              </w:rPr>
              <w:t>:</w:t>
            </w:r>
          </w:p>
          <w:p w14:paraId="08E0865D" w14:textId="2D9121E1" w:rsidR="00E66558" w:rsidRDefault="2A46B9D2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80% making progress across all subjects</w:t>
            </w:r>
          </w:p>
          <w:p w14:paraId="08446BE7" w14:textId="63116F13" w:rsidR="00E66558" w:rsidRDefault="2A46B9D2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30% achieving grade 4 and above in both English and Maths</w:t>
            </w:r>
          </w:p>
          <w:p w14:paraId="2A7D5508" w14:textId="3B6B2AEB" w:rsidR="00E66558" w:rsidRDefault="5D243095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 xml:space="preserve">55% </w:t>
            </w:r>
            <w:r w:rsidR="4FB3653D" w:rsidRPr="7F0E3B2E">
              <w:rPr>
                <w:sz w:val="22"/>
                <w:szCs w:val="22"/>
              </w:rPr>
              <w:t>achieving 5 qualifications at end of Y11</w:t>
            </w:r>
          </w:p>
        </w:tc>
      </w:tr>
      <w:tr w:rsidR="00E66558" w14:paraId="2A7D550C" w14:textId="77777777" w:rsidTr="7F0E3B2E">
        <w:trPr>
          <w:trHeight w:val="300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7973" w14:textId="454336CD" w:rsidR="19FC8A33" w:rsidRDefault="19FC8A33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5F008C68" w:rsidR="00E66558" w:rsidRDefault="4E6570DB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 xml:space="preserve">Pupils </w:t>
            </w:r>
            <w:r w:rsidR="73E71F40" w:rsidRPr="7F0E3B2E">
              <w:rPr>
                <w:sz w:val="22"/>
                <w:szCs w:val="22"/>
              </w:rPr>
              <w:t>developing strong understanding and transferability of foundational knowledge and skills across the curriculum</w:t>
            </w:r>
            <w:r w:rsidR="39A18A05" w:rsidRPr="7F0E3B2E">
              <w:rPr>
                <w:sz w:val="22"/>
                <w:szCs w:val="22"/>
              </w:rPr>
              <w:t xml:space="preserve"> with a particular focus on numeracy</w:t>
            </w:r>
          </w:p>
        </w:tc>
        <w:tc>
          <w:tcPr>
            <w:tcW w:w="7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CCF6" w14:textId="2DCAE2C7" w:rsidR="00E66558" w:rsidRDefault="0E0AE141" w:rsidP="7F0E3B2E">
            <w:pPr>
              <w:pStyle w:val="TableRowCentered"/>
              <w:ind w:left="0"/>
              <w:jc w:val="lef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sz w:val="22"/>
                <w:szCs w:val="22"/>
              </w:rPr>
              <w:t xml:space="preserve">80% </w:t>
            </w: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making expected progress following subject specific based intervention/positive action</w:t>
            </w:r>
          </w:p>
          <w:p w14:paraId="05BD76EE" w14:textId="0DA1BC57" w:rsidR="00E66558" w:rsidRDefault="0800E74C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80% making progress following literacy intervention (Writing fluency/handwriting/ reading/spelling)</w:t>
            </w:r>
          </w:p>
          <w:p w14:paraId="00F52CB8" w14:textId="55E0020F" w:rsidR="00E66558" w:rsidRDefault="116939CF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Y11 Maths outcomes in line with whole cohort</w:t>
            </w:r>
          </w:p>
          <w:p w14:paraId="78864D67" w14:textId="53B26005" w:rsidR="00E66558" w:rsidRDefault="0800E74C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Over a </w:t>
            </w:r>
            <w:proofErr w:type="gramStart"/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three year</w:t>
            </w:r>
            <w:proofErr w:type="gramEnd"/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period, an increasing percentag</w:t>
            </w:r>
            <w:r w:rsidR="47D6DB4A"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e</w:t>
            </w: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of pupils reporting via surveys and tracking data that they have </w:t>
            </w:r>
            <w:r w:rsidR="1AE5F304"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improved foundation</w:t>
            </w:r>
            <w:r w:rsidR="04852189"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al</w:t>
            </w:r>
            <w:r w:rsidR="1AE5F304"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knowledge and skills across the curriculum</w:t>
            </w:r>
          </w:p>
          <w:p w14:paraId="2A7D550B" w14:textId="0C81B17A" w:rsidR="00E66558" w:rsidRDefault="00E66558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  <w:tr w:rsidR="00E66558" w14:paraId="2A7D550F" w14:textId="77777777" w:rsidTr="7F0E3B2E">
        <w:trPr>
          <w:trHeight w:val="300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1397" w14:textId="039736AE" w:rsidR="3FC994F6" w:rsidRDefault="3FC994F6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5CC0914F" w:rsidR="00E66558" w:rsidRDefault="4A7ADCBF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Pupils</w:t>
            </w:r>
            <w:r w:rsidR="0D4ED501" w:rsidRPr="7F0E3B2E">
              <w:rPr>
                <w:sz w:val="22"/>
                <w:szCs w:val="22"/>
              </w:rPr>
              <w:t xml:space="preserve"> having equal access to wider world activities</w:t>
            </w:r>
            <w:r w:rsidR="1EF74BE3" w:rsidRPr="7F0E3B2E">
              <w:rPr>
                <w:sz w:val="22"/>
                <w:szCs w:val="22"/>
              </w:rPr>
              <w:t xml:space="preserve"> and careers program</w:t>
            </w:r>
          </w:p>
        </w:tc>
        <w:tc>
          <w:tcPr>
            <w:tcW w:w="7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AE33" w14:textId="3F0D4DC4" w:rsidR="00E66558" w:rsidRDefault="6CFBD869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 xml:space="preserve">Positive experiences </w:t>
            </w:r>
            <w:r w:rsidR="24741C46" w:rsidRPr="7F0E3B2E">
              <w:rPr>
                <w:sz w:val="22"/>
                <w:szCs w:val="22"/>
              </w:rPr>
              <w:t xml:space="preserve">and enrichment </w:t>
            </w:r>
            <w:r w:rsidRPr="7F0E3B2E">
              <w:rPr>
                <w:sz w:val="22"/>
                <w:szCs w:val="22"/>
              </w:rPr>
              <w:t>data will show participation in extra-curricular activities in line with peers</w:t>
            </w:r>
          </w:p>
          <w:p w14:paraId="2A7D550E" w14:textId="2A3160CC" w:rsidR="00E66558" w:rsidRDefault="6CFBD869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 xml:space="preserve">100% pupils will have a secured post 16 destination </w:t>
            </w:r>
          </w:p>
        </w:tc>
      </w:tr>
      <w:tr w:rsidR="7F0E3B2E" w14:paraId="028108DB" w14:textId="77777777" w:rsidTr="7F0E3B2E">
        <w:trPr>
          <w:trHeight w:val="300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8B3F" w14:textId="4A0AF238" w:rsidR="12880B7A" w:rsidRDefault="12880B7A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3347" w14:textId="02CF0F51" w:rsidR="683293DB" w:rsidRDefault="683293DB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 xml:space="preserve">An increase in parental understanding and engagement in </w:t>
            </w:r>
            <w:r w:rsidR="7BE04D98" w:rsidRPr="7F0E3B2E">
              <w:rPr>
                <w:sz w:val="22"/>
                <w:szCs w:val="22"/>
              </w:rPr>
              <w:t>the</w:t>
            </w:r>
            <w:r w:rsidRPr="7F0E3B2E">
              <w:rPr>
                <w:sz w:val="22"/>
                <w:szCs w:val="22"/>
              </w:rPr>
              <w:t xml:space="preserve"> school setting</w:t>
            </w:r>
          </w:p>
        </w:tc>
        <w:tc>
          <w:tcPr>
            <w:tcW w:w="7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445F" w14:textId="25783BCF" w:rsidR="1935DFE3" w:rsidRDefault="1935DFE3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 xml:space="preserve">Over a </w:t>
            </w:r>
            <w:proofErr w:type="gramStart"/>
            <w:r w:rsidRPr="7F0E3B2E">
              <w:rPr>
                <w:sz w:val="22"/>
                <w:szCs w:val="22"/>
              </w:rPr>
              <w:t>three year</w:t>
            </w:r>
            <w:proofErr w:type="gramEnd"/>
            <w:r w:rsidRPr="7F0E3B2E">
              <w:rPr>
                <w:sz w:val="22"/>
                <w:szCs w:val="22"/>
              </w:rPr>
              <w:t xml:space="preserve"> period, an increasing percentage of parents reporting:</w:t>
            </w:r>
          </w:p>
          <w:p w14:paraId="1C066472" w14:textId="427005B5" w:rsidR="55AE84C7" w:rsidRDefault="55AE84C7" w:rsidP="7F0E3B2E">
            <w:pPr>
              <w:pStyle w:val="TableRowCentered"/>
              <w:numPr>
                <w:ilvl w:val="0"/>
                <w:numId w:val="2"/>
              </w:numPr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Increased knowledge/strategies to support their child</w:t>
            </w:r>
          </w:p>
          <w:p w14:paraId="3BAFD1A0" w14:textId="689D2AF0" w:rsidR="55AE84C7" w:rsidRDefault="55AE84C7" w:rsidP="7F0E3B2E">
            <w:pPr>
              <w:pStyle w:val="TableRowCentered"/>
              <w:numPr>
                <w:ilvl w:val="0"/>
                <w:numId w:val="2"/>
              </w:numPr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Feeling part of the school community</w:t>
            </w:r>
          </w:p>
          <w:p w14:paraId="68050280" w14:textId="77511C44" w:rsidR="55AE84C7" w:rsidRDefault="55AE84C7" w:rsidP="7F0E3B2E">
            <w:pPr>
              <w:pStyle w:val="TableRowCentered"/>
              <w:numPr>
                <w:ilvl w:val="0"/>
                <w:numId w:val="2"/>
              </w:numPr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Reduced isolation</w:t>
            </w:r>
          </w:p>
          <w:p w14:paraId="1B505576" w14:textId="3FA09DC5" w:rsidR="55AE84C7" w:rsidRDefault="55AE84C7" w:rsidP="7F0E3B2E">
            <w:pPr>
              <w:pStyle w:val="TableRowCentered"/>
              <w:numPr>
                <w:ilvl w:val="0"/>
                <w:numId w:val="2"/>
              </w:numPr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Understanding of literacy and numeracy teaching</w:t>
            </w:r>
          </w:p>
          <w:p w14:paraId="1B53FEB3" w14:textId="7041064A" w:rsidR="7F0E3B2E" w:rsidRDefault="7F0E3B2E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7B0A4F2A" w14:textId="07860200" w:rsidR="55AE84C7" w:rsidRDefault="55AE84C7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Parent Connect and voice data will show participation and engagement in line with peers</w:t>
            </w:r>
          </w:p>
        </w:tc>
      </w:tr>
    </w:tbl>
    <w:p w14:paraId="18319889" w14:textId="3E37EF5C" w:rsidR="7F0E3B2E" w:rsidRDefault="7F0E3B2E" w:rsidP="7F0E3B2E">
      <w:pPr>
        <w:pStyle w:val="Heading2"/>
      </w:pPr>
    </w:p>
    <w:p w14:paraId="2A7D5512" w14:textId="2C242860" w:rsidR="00E66558" w:rsidRDefault="49321731">
      <w:pPr>
        <w:pStyle w:val="Heading2"/>
      </w:pPr>
      <w:r>
        <w:t>Activity in this academic year</w:t>
      </w:r>
      <w:r w:rsidR="09225FD8">
        <w:t xml:space="preserve"> 20</w:t>
      </w:r>
      <w:r w:rsidR="1B223F4B">
        <w:t>25-26</w:t>
      </w:r>
    </w:p>
    <w:p w14:paraId="2A7D5513" w14:textId="603E7BD1" w:rsidR="00E66558" w:rsidRDefault="009D71E8">
      <w:pPr>
        <w:spacing w:after="480"/>
      </w:pPr>
      <w:r>
        <w:t>This details how we intend to spend our pupil premium (and recovery premium</w:t>
      </w:r>
      <w:r w:rsidR="00A112B5">
        <w:t>)</w:t>
      </w:r>
      <w:r>
        <w:t xml:space="preserve"> funding </w:t>
      </w:r>
      <w:r w:rsidRPr="080C1BA7"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71222069" w:rsidR="00E66558" w:rsidRDefault="49321731" w:rsidP="45D2CA4F">
      <w:r>
        <w:t xml:space="preserve">Budgeted cost: £ </w:t>
      </w:r>
      <w:r w:rsidR="56D9AA76">
        <w:t>1250</w:t>
      </w:r>
    </w:p>
    <w:tbl>
      <w:tblPr>
        <w:tblW w:w="155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9"/>
        <w:gridCol w:w="8491"/>
        <w:gridCol w:w="4740"/>
      </w:tblGrid>
      <w:tr w:rsidR="00E66558" w14:paraId="2A7D5519" w14:textId="77777777" w:rsidTr="7F0E3B2E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7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1" w14:textId="77777777" w:rsidTr="7F0E3B2E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B509" w14:textId="725B6B9E" w:rsidR="002913B9" w:rsidRPr="0033787C" w:rsidRDefault="46C44086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lastRenderedPageBreak/>
              <w:t>CPD and focus on foundational knowledge</w:t>
            </w:r>
            <w:r w:rsidR="7441AFD0" w:rsidRPr="7F0E3B2E">
              <w:rPr>
                <w:sz w:val="22"/>
                <w:szCs w:val="22"/>
              </w:rPr>
              <w:t xml:space="preserve"> including oracy</w:t>
            </w:r>
            <w:r w:rsidRPr="7F0E3B2E">
              <w:rPr>
                <w:sz w:val="22"/>
                <w:szCs w:val="22"/>
              </w:rPr>
              <w:t xml:space="preserve"> </w:t>
            </w:r>
          </w:p>
          <w:p w14:paraId="096785E3" w14:textId="1136EA10" w:rsidR="002913B9" w:rsidRPr="0033787C" w:rsidRDefault="002913B9" w:rsidP="7F0E3B2E">
            <w:pPr>
              <w:pStyle w:val="TableRow"/>
              <w:rPr>
                <w:sz w:val="22"/>
                <w:szCs w:val="22"/>
              </w:rPr>
            </w:pPr>
          </w:p>
          <w:p w14:paraId="28EF5BD2" w14:textId="33CDDEFD" w:rsidR="002913B9" w:rsidRPr="0033787C" w:rsidRDefault="002913B9" w:rsidP="7F0E3B2E">
            <w:pPr>
              <w:pStyle w:val="TableRow"/>
              <w:rPr>
                <w:sz w:val="22"/>
                <w:szCs w:val="22"/>
              </w:rPr>
            </w:pPr>
          </w:p>
          <w:p w14:paraId="5DC17417" w14:textId="046053D5" w:rsidR="002913B9" w:rsidRPr="0033787C" w:rsidRDefault="002913B9" w:rsidP="7F0E3B2E">
            <w:pPr>
              <w:pStyle w:val="TableRow"/>
              <w:rPr>
                <w:sz w:val="22"/>
                <w:szCs w:val="22"/>
              </w:rPr>
            </w:pPr>
          </w:p>
          <w:p w14:paraId="7DE70AFD" w14:textId="0404B20F" w:rsidR="002913B9" w:rsidRPr="0033787C" w:rsidRDefault="002913B9" w:rsidP="7F0E3B2E">
            <w:pPr>
              <w:pStyle w:val="TableRow"/>
              <w:rPr>
                <w:sz w:val="22"/>
                <w:szCs w:val="22"/>
              </w:rPr>
            </w:pPr>
          </w:p>
          <w:p w14:paraId="46689BA2" w14:textId="095A2C52" w:rsidR="002913B9" w:rsidRPr="0033787C" w:rsidRDefault="002913B9" w:rsidP="7F0E3B2E">
            <w:pPr>
              <w:pStyle w:val="TableRow"/>
              <w:rPr>
                <w:sz w:val="22"/>
                <w:szCs w:val="22"/>
              </w:rPr>
            </w:pPr>
          </w:p>
          <w:p w14:paraId="479356C8" w14:textId="2841D07E" w:rsidR="002913B9" w:rsidRPr="0033787C" w:rsidRDefault="002913B9" w:rsidP="7F0E3B2E">
            <w:pPr>
              <w:pStyle w:val="TableRow"/>
              <w:rPr>
                <w:sz w:val="22"/>
                <w:szCs w:val="22"/>
              </w:rPr>
            </w:pPr>
          </w:p>
          <w:p w14:paraId="3B383928" w14:textId="13547257" w:rsidR="002913B9" w:rsidRPr="0033787C" w:rsidRDefault="0584A9CF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 xml:space="preserve">CPD and focus on </w:t>
            </w:r>
            <w:r w:rsidR="53C94E3E" w:rsidRPr="7F0E3B2E">
              <w:rPr>
                <w:sz w:val="22"/>
                <w:szCs w:val="22"/>
              </w:rPr>
              <w:t>building confidence in Maths</w:t>
            </w:r>
          </w:p>
          <w:p w14:paraId="0FB668B5" w14:textId="50660987" w:rsidR="002913B9" w:rsidRPr="0033787C" w:rsidRDefault="002913B9" w:rsidP="7F0E3B2E">
            <w:pPr>
              <w:pStyle w:val="TableRow"/>
              <w:rPr>
                <w:sz w:val="22"/>
                <w:szCs w:val="22"/>
              </w:rPr>
            </w:pPr>
          </w:p>
          <w:p w14:paraId="67FA396C" w14:textId="122F8AE5" w:rsidR="002913B9" w:rsidRPr="0033787C" w:rsidRDefault="002913B9" w:rsidP="7F0E3B2E">
            <w:pPr>
              <w:pStyle w:val="TableRow"/>
              <w:rPr>
                <w:sz w:val="22"/>
                <w:szCs w:val="22"/>
              </w:rPr>
            </w:pPr>
          </w:p>
          <w:p w14:paraId="789F6450" w14:textId="28FA3D8E" w:rsidR="002913B9" w:rsidRPr="0033787C" w:rsidRDefault="46C44086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Coaching</w:t>
            </w:r>
            <w:r w:rsidR="67DB50E9" w:rsidRPr="7F0E3B2E">
              <w:rPr>
                <w:sz w:val="22"/>
                <w:szCs w:val="22"/>
              </w:rPr>
              <w:t xml:space="preserve"> for less experienced teachers</w:t>
            </w:r>
          </w:p>
          <w:p w14:paraId="19A4AC94" w14:textId="49BFBE7E" w:rsidR="002913B9" w:rsidRPr="0033787C" w:rsidRDefault="002913B9" w:rsidP="7F0E3B2E">
            <w:pPr>
              <w:pStyle w:val="TableRow"/>
              <w:rPr>
                <w:sz w:val="22"/>
                <w:szCs w:val="22"/>
              </w:rPr>
            </w:pPr>
          </w:p>
          <w:p w14:paraId="6527CEB1" w14:textId="3BDFFDAC" w:rsidR="002913B9" w:rsidRPr="0033787C" w:rsidRDefault="002913B9" w:rsidP="7F0E3B2E">
            <w:pPr>
              <w:pStyle w:val="TableRow"/>
              <w:rPr>
                <w:sz w:val="22"/>
                <w:szCs w:val="22"/>
              </w:rPr>
            </w:pPr>
          </w:p>
          <w:p w14:paraId="2A7D551E" w14:textId="29DCD55D" w:rsidR="002913B9" w:rsidRPr="0033787C" w:rsidRDefault="46C44086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Development and implementation of apps and remote learning opportunities</w:t>
            </w:r>
            <w:r w:rsidR="195265FC" w:rsidRPr="7F0E3B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968D" w14:textId="6EE4F5EE" w:rsidR="00E66558" w:rsidRDefault="009F5F47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11">
              <w:r w:rsidR="173C55E0" w:rsidRPr="7F0E3B2E">
                <w:rPr>
                  <w:rStyle w:val="Hyperlink"/>
                </w:rPr>
                <w:t>https://www.wwhge.org/resources/new-evidence-confirms-the-transformative-power-of-foundational-learning-skills-for-individuals-and-societies/</w:t>
              </w:r>
            </w:hyperlink>
          </w:p>
          <w:p w14:paraId="2F000A1B" w14:textId="7108D87A" w:rsidR="00E66558" w:rsidRDefault="009F5F47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12">
              <w:r w:rsidR="4C6BF365" w:rsidRPr="7F0E3B2E">
                <w:rPr>
                  <w:rStyle w:val="Hyperlink"/>
                </w:rPr>
                <w:t>https://educationendowmentfoundation.org.uk/education-evidence/teaching-learning-toolkit/oral-language-interventions</w:t>
              </w:r>
            </w:hyperlink>
          </w:p>
          <w:p w14:paraId="11901D67" w14:textId="04DF5B55" w:rsidR="00E66558" w:rsidRDefault="00E66558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0D77C84B" w14:textId="72BC621D" w:rsidR="00E66558" w:rsidRDefault="00E66558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70990529" w14:textId="3D7CF811" w:rsidR="00E66558" w:rsidRDefault="009F5F47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13">
              <w:r w:rsidR="6A6F4C8E" w:rsidRPr="7F0E3B2E">
                <w:rPr>
                  <w:rStyle w:val="Hyperlink"/>
                </w:rPr>
                <w:t>https://educationendowmentfoundation.org.uk/early-years/maths/effective-pedagogy-mathematics</w:t>
              </w:r>
            </w:hyperlink>
          </w:p>
          <w:p w14:paraId="20646F11" w14:textId="68981AD2" w:rsidR="00E66558" w:rsidRDefault="00E66558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0ED38BA4" w14:textId="2DF03216" w:rsidR="00E66558" w:rsidRDefault="009F5F47" w:rsidP="7F0E3B2E">
            <w:pPr>
              <w:pStyle w:val="TableRowCentered"/>
              <w:ind w:left="0"/>
              <w:jc w:val="left"/>
            </w:pPr>
            <w:hyperlink r:id="rId14">
              <w:r w:rsidR="56A3B4D6" w:rsidRPr="7F0E3B2E">
                <w:rPr>
                  <w:rStyle w:val="Hyperlink"/>
                </w:rPr>
                <w:t>https://niot.s3.amazonaws.com/documents/NIOT_mentoring_and_coaching_-_Key_Takeaways.pdf</w:t>
              </w:r>
            </w:hyperlink>
          </w:p>
          <w:p w14:paraId="0B59B9E5" w14:textId="03343317" w:rsidR="00E66558" w:rsidRDefault="00E66558" w:rsidP="7F0E3B2E">
            <w:pPr>
              <w:pStyle w:val="TableRowCentered"/>
              <w:ind w:left="0"/>
              <w:jc w:val="left"/>
            </w:pPr>
          </w:p>
          <w:p w14:paraId="28F02FC2" w14:textId="4D3140E6" w:rsidR="00E66558" w:rsidRDefault="009F5F47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15">
              <w:r w:rsidR="56A3B4D6" w:rsidRPr="7F0E3B2E">
                <w:rPr>
                  <w:rStyle w:val="Hyperlink"/>
                </w:rPr>
                <w:t>https://educationendowmentfoundation.org.uk/education-evidence/guidance-reports/digital</w:t>
              </w:r>
            </w:hyperlink>
          </w:p>
          <w:p w14:paraId="2A7D551F" w14:textId="16D5C3C5" w:rsidR="00E66558" w:rsidRDefault="00E66558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  <w:tc>
          <w:tcPr>
            <w:tcW w:w="7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32421642" w:rsidR="00E66558" w:rsidRDefault="7E42A717" w:rsidP="6B8734EC">
            <w:pPr>
              <w:pStyle w:val="TableRowCentered"/>
              <w:jc w:val="left"/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 xml:space="preserve">1 and </w:t>
            </w:r>
            <w:r w:rsidR="007F0D3F" w:rsidRPr="080C1BA7">
              <w:rPr>
                <w:sz w:val="22"/>
                <w:szCs w:val="22"/>
              </w:rPr>
              <w:t>2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4B117F86" w:rsidR="00E66558" w:rsidRDefault="49321731" w:rsidP="45D2CA4F">
      <w:r>
        <w:t xml:space="preserve">Budgeted cost: £ </w:t>
      </w:r>
      <w:r w:rsidR="2E3C6445">
        <w:t>4750</w:t>
      </w:r>
    </w:p>
    <w:tbl>
      <w:tblPr>
        <w:tblW w:w="155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6401"/>
        <w:gridCol w:w="6582"/>
      </w:tblGrid>
      <w:tr w:rsidR="00E66558" w14:paraId="2A7D5528" w14:textId="77777777" w:rsidTr="7F0E3B2E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lastRenderedPageBreak/>
              <w:t>Activity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7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 w:rsidTr="7F0E3B2E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3C93" w14:textId="242092E3" w:rsidR="00E66558" w:rsidRDefault="36986959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S</w:t>
            </w:r>
            <w:r w:rsidR="72E78955" w:rsidRPr="7F0E3B2E">
              <w:rPr>
                <w:sz w:val="22"/>
                <w:szCs w:val="22"/>
              </w:rPr>
              <w:t>ubject specific interventions</w:t>
            </w:r>
            <w:r w:rsidR="395BE843" w:rsidRPr="7F0E3B2E">
              <w:rPr>
                <w:sz w:val="22"/>
                <w:szCs w:val="22"/>
              </w:rPr>
              <w:t xml:space="preserve"> </w:t>
            </w:r>
            <w:r w:rsidR="72E78955" w:rsidRPr="7F0E3B2E">
              <w:rPr>
                <w:sz w:val="22"/>
                <w:szCs w:val="22"/>
              </w:rPr>
              <w:t>and tools</w:t>
            </w:r>
            <w:r w:rsidR="7E76AA08" w:rsidRPr="7F0E3B2E">
              <w:rPr>
                <w:sz w:val="22"/>
                <w:szCs w:val="22"/>
              </w:rPr>
              <w:t xml:space="preserve"> </w:t>
            </w:r>
          </w:p>
          <w:p w14:paraId="5C67B7C5" w14:textId="212C2D74" w:rsidR="00E66558" w:rsidRDefault="00E66558" w:rsidP="7F0E3B2E">
            <w:pPr>
              <w:pStyle w:val="TableRow"/>
              <w:rPr>
                <w:sz w:val="22"/>
                <w:szCs w:val="22"/>
              </w:rPr>
            </w:pPr>
          </w:p>
          <w:p w14:paraId="5FEAA13B" w14:textId="3AED9A1F" w:rsidR="00E66558" w:rsidRDefault="345C967A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Targeted</w:t>
            </w:r>
            <w:r w:rsidR="32DB41B3" w:rsidRPr="7F0E3B2E">
              <w:rPr>
                <w:sz w:val="22"/>
                <w:szCs w:val="22"/>
              </w:rPr>
              <w:t xml:space="preserve"> u</w:t>
            </w:r>
            <w:r w:rsidR="7546A090" w:rsidRPr="7F0E3B2E">
              <w:rPr>
                <w:sz w:val="22"/>
                <w:szCs w:val="22"/>
              </w:rPr>
              <w:t>tilisation of support staff to enable delivery</w:t>
            </w:r>
          </w:p>
          <w:p w14:paraId="1C0B9F10" w14:textId="2587B22B" w:rsidR="00E66558" w:rsidRDefault="00E66558" w:rsidP="7F0E3B2E">
            <w:pPr>
              <w:pStyle w:val="TableRow"/>
              <w:rPr>
                <w:sz w:val="22"/>
                <w:szCs w:val="22"/>
              </w:rPr>
            </w:pPr>
          </w:p>
          <w:p w14:paraId="1B77F0BD" w14:textId="27864616" w:rsidR="00E66558" w:rsidRDefault="00E66558" w:rsidP="7F0E3B2E">
            <w:pPr>
              <w:pStyle w:val="TableRow"/>
              <w:rPr>
                <w:sz w:val="22"/>
                <w:szCs w:val="22"/>
              </w:rPr>
            </w:pPr>
          </w:p>
          <w:p w14:paraId="19D0CDA4" w14:textId="238C4AF7" w:rsidR="00E66558" w:rsidRDefault="00E66558" w:rsidP="7F0E3B2E">
            <w:pPr>
              <w:pStyle w:val="TableRow"/>
              <w:rPr>
                <w:sz w:val="22"/>
                <w:szCs w:val="22"/>
              </w:rPr>
            </w:pPr>
          </w:p>
          <w:p w14:paraId="02598B80" w14:textId="72E40F5D" w:rsidR="00E66558" w:rsidRDefault="72E78955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Foundational knowledge interventions and tools such as</w:t>
            </w:r>
          </w:p>
          <w:p w14:paraId="73915225" w14:textId="3036FB9F" w:rsidR="00E66558" w:rsidRDefault="72E78955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Fresh Start</w:t>
            </w:r>
            <w:r w:rsidR="387AE035" w:rsidRPr="7F0E3B2E">
              <w:rPr>
                <w:sz w:val="22"/>
                <w:szCs w:val="22"/>
              </w:rPr>
              <w:t xml:space="preserve"> (Reading</w:t>
            </w:r>
            <w:r w:rsidR="63812621" w:rsidRPr="7F0E3B2E">
              <w:rPr>
                <w:sz w:val="22"/>
                <w:szCs w:val="22"/>
              </w:rPr>
              <w:t xml:space="preserve"> and spelling</w:t>
            </w:r>
            <w:r w:rsidR="387AE035" w:rsidRPr="7F0E3B2E">
              <w:rPr>
                <w:sz w:val="22"/>
                <w:szCs w:val="22"/>
              </w:rPr>
              <w:t xml:space="preserve">) </w:t>
            </w:r>
          </w:p>
          <w:p w14:paraId="2D72A3F7" w14:textId="57E84497" w:rsidR="00E66558" w:rsidRDefault="72E78955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Handwriting</w:t>
            </w:r>
          </w:p>
          <w:p w14:paraId="1C29A893" w14:textId="3F2352C3" w:rsidR="00E66558" w:rsidRDefault="2B488926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Touch typing</w:t>
            </w:r>
          </w:p>
          <w:p w14:paraId="368BF7D9" w14:textId="4035C1D2" w:rsidR="00E66558" w:rsidRDefault="6A7F5A83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Morph Mastery (</w:t>
            </w:r>
            <w:r w:rsidR="72E78955" w:rsidRPr="7F0E3B2E">
              <w:rPr>
                <w:sz w:val="22"/>
                <w:szCs w:val="22"/>
              </w:rPr>
              <w:t>Spelling</w:t>
            </w:r>
            <w:r w:rsidR="166B0E32" w:rsidRPr="7F0E3B2E">
              <w:rPr>
                <w:sz w:val="22"/>
                <w:szCs w:val="22"/>
              </w:rPr>
              <w:t>)</w:t>
            </w:r>
          </w:p>
          <w:p w14:paraId="2A7D5529" w14:textId="4F0239A7" w:rsidR="00E66558" w:rsidRDefault="72E78955" w:rsidP="7F0E3B2E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Numeracy</w:t>
            </w:r>
            <w:r w:rsidR="00C2B5EF" w:rsidRPr="7F0E3B2E">
              <w:rPr>
                <w:sz w:val="22"/>
                <w:szCs w:val="22"/>
              </w:rPr>
              <w:t xml:space="preserve"> (in house app and workbook)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B914" w14:textId="50DC3CA4" w:rsidR="00E66558" w:rsidRDefault="009F5F47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16">
              <w:r w:rsidR="0834055A" w:rsidRPr="7F0E3B2E">
                <w:rPr>
                  <w:rStyle w:val="Hyperlink"/>
                </w:rPr>
                <w:t>https://educationendowmentfoundation.org.uk/education-evidence/guidance-reports/digital</w:t>
              </w:r>
            </w:hyperlink>
          </w:p>
          <w:p w14:paraId="4CF80C71" w14:textId="6C7B4378" w:rsidR="00E66558" w:rsidRDefault="009F5F47">
            <w:pPr>
              <w:pStyle w:val="TableRowCentered"/>
              <w:jc w:val="left"/>
            </w:pPr>
            <w:hyperlink r:id="rId17">
              <w:r w:rsidR="4EF41B6B" w:rsidRPr="7F0E3B2E">
                <w:rPr>
                  <w:rStyle w:val="Hyperlink"/>
                </w:rPr>
                <w:t>https://educationendowmentfoundation.org.uk/news/how-to-deploy-teaching-assistants-in-your-school</w:t>
              </w:r>
            </w:hyperlink>
          </w:p>
          <w:p w14:paraId="16A7F539" w14:textId="4C9C8D0A" w:rsidR="00E66558" w:rsidRDefault="00E66558">
            <w:pPr>
              <w:pStyle w:val="TableRowCentered"/>
              <w:jc w:val="left"/>
            </w:pPr>
          </w:p>
          <w:p w14:paraId="0EF2E6F9" w14:textId="6AB4A185" w:rsidR="00E66558" w:rsidRDefault="00E66558">
            <w:pPr>
              <w:pStyle w:val="TableRowCentered"/>
              <w:jc w:val="left"/>
            </w:pPr>
          </w:p>
          <w:p w14:paraId="4EFF0FFA" w14:textId="2B208EB5" w:rsidR="00E66558" w:rsidRDefault="00E66558">
            <w:pPr>
              <w:pStyle w:val="TableRowCentered"/>
              <w:jc w:val="left"/>
            </w:pPr>
          </w:p>
          <w:p w14:paraId="50D4E53D" w14:textId="01F3DB1A" w:rsidR="00E66558" w:rsidRDefault="009F5F47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18">
              <w:r w:rsidR="478659CB" w:rsidRPr="7F0E3B2E">
                <w:rPr>
                  <w:rStyle w:val="Hyperlink"/>
                </w:rPr>
                <w:t>https://educationendowmentfoundation.org.uk/education-evidence/teaching-learning-toolkit/phonics</w:t>
              </w:r>
            </w:hyperlink>
          </w:p>
          <w:p w14:paraId="7AB2960B" w14:textId="22400C78" w:rsidR="00E66558" w:rsidRDefault="009F5F47">
            <w:pPr>
              <w:pStyle w:val="TableRowCentered"/>
              <w:jc w:val="left"/>
            </w:pPr>
            <w:hyperlink r:id="rId19">
              <w:r w:rsidR="2D45774C" w:rsidRPr="7F0E3B2E">
                <w:rPr>
                  <w:rStyle w:val="Hyperlink"/>
                </w:rPr>
                <w:t>https://www.ucl.ac.uk/news/2024/sep/targeted-interventions-add-five-months-progress-students-send</w:t>
              </w:r>
            </w:hyperlink>
          </w:p>
          <w:p w14:paraId="1C6BCE26" w14:textId="3FFA7FF9" w:rsidR="00E66558" w:rsidRDefault="00E66558">
            <w:pPr>
              <w:pStyle w:val="TableRowCentered"/>
              <w:jc w:val="left"/>
            </w:pPr>
          </w:p>
          <w:p w14:paraId="2A7D552A" w14:textId="5DFF063B" w:rsidR="00E66558" w:rsidRDefault="00E66558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0AE301A4" w:rsidR="00E66558" w:rsidRDefault="6451E281" w:rsidP="6B8734EC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1</w:t>
            </w:r>
            <w:r w:rsidR="40BC8614" w:rsidRPr="7F0E3B2E">
              <w:rPr>
                <w:sz w:val="22"/>
                <w:szCs w:val="22"/>
              </w:rPr>
              <w:t xml:space="preserve"> and 2</w:t>
            </w:r>
          </w:p>
        </w:tc>
      </w:tr>
      <w:tr w:rsidR="00E66558" w14:paraId="2A7D5530" w14:textId="77777777" w:rsidTr="7F0E3B2E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6782" w14:textId="21BE2ED9" w:rsidR="7F0E3B2E" w:rsidRDefault="7F0E3B2E" w:rsidP="7F0E3B2E">
            <w:pPr>
              <w:pStyle w:val="TableRow"/>
              <w:rPr>
                <w:sz w:val="22"/>
                <w:szCs w:val="22"/>
              </w:rPr>
            </w:pPr>
          </w:p>
          <w:p w14:paraId="2A7D552D" w14:textId="57667991" w:rsidR="00E66558" w:rsidRPr="007531EA" w:rsidRDefault="40BC8614" w:rsidP="45D2CA4F">
            <w:pPr>
              <w:pStyle w:val="TableRow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Parental sessions regarding foundational knowledge and intervention tools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C7F9" w14:textId="11A90916" w:rsidR="00E66558" w:rsidRDefault="00E66558" w:rsidP="7F0E3B2E">
            <w:pPr>
              <w:pStyle w:val="TableRowCentered"/>
              <w:ind w:left="0"/>
              <w:jc w:val="left"/>
            </w:pPr>
          </w:p>
          <w:p w14:paraId="6BCF59F6" w14:textId="3E29886C" w:rsidR="00E66558" w:rsidRDefault="009F5F47">
            <w:pPr>
              <w:pStyle w:val="TableRowCentered"/>
              <w:jc w:val="left"/>
            </w:pPr>
            <w:hyperlink r:id="rId20">
              <w:r w:rsidR="5A4545CF" w:rsidRPr="7F0E3B2E">
                <w:rPr>
                  <w:rStyle w:val="Hyperlink"/>
                </w:rPr>
                <w:t>https://educationendowmentfoundation.org.uk/education-evidence/guidance-reports/supporting-parents</w:t>
              </w:r>
            </w:hyperlink>
          </w:p>
          <w:p w14:paraId="095307BB" w14:textId="7BD2A7F9" w:rsidR="00E66558" w:rsidRDefault="00E66558">
            <w:pPr>
              <w:pStyle w:val="TableRowCentered"/>
              <w:jc w:val="left"/>
            </w:pPr>
          </w:p>
          <w:p w14:paraId="17ED4A8A" w14:textId="432CF85C" w:rsidR="00E66558" w:rsidRDefault="00E66558">
            <w:pPr>
              <w:pStyle w:val="TableRowCentered"/>
              <w:jc w:val="left"/>
            </w:pPr>
          </w:p>
          <w:p w14:paraId="2A7D552E" w14:textId="25400D4C" w:rsidR="00E66558" w:rsidRDefault="00E66558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BC1B" w14:textId="4D525991" w:rsidR="7F0E3B2E" w:rsidRDefault="7F0E3B2E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2A7D552F" w14:textId="1FBF017A" w:rsidR="00E66558" w:rsidRDefault="40BC8614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4</w:t>
            </w:r>
          </w:p>
        </w:tc>
      </w:tr>
    </w:tbl>
    <w:p w14:paraId="2A7D5531" w14:textId="10387223" w:rsidR="00E66558" w:rsidRDefault="00E66558" w:rsidP="7F0E3B2E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3845CD38" w:rsidR="00E66558" w:rsidRDefault="49321731" w:rsidP="45D2CA4F">
      <w:pPr>
        <w:spacing w:before="240" w:after="120"/>
      </w:pPr>
      <w:r>
        <w:t xml:space="preserve">Budgeted cost: </w:t>
      </w:r>
      <w:r w:rsidR="47E2193C">
        <w:t>£</w:t>
      </w:r>
      <w:r w:rsidR="37A7E14C">
        <w:t>3500</w:t>
      </w:r>
    </w:p>
    <w:tbl>
      <w:tblPr>
        <w:tblW w:w="155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6375"/>
        <w:gridCol w:w="6500"/>
      </w:tblGrid>
      <w:tr w:rsidR="00E66558" w14:paraId="2A7D5537" w14:textId="77777777" w:rsidTr="7F0E3B2E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7F0E3B2E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8A81" w14:textId="1CE1B430" w:rsidR="00E66558" w:rsidRPr="00723D25" w:rsidRDefault="066DE133" w:rsidP="7F0E3B2E">
            <w:pPr>
              <w:pStyle w:val="TableRow"/>
              <w:ind w:left="0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Attendance rewards (specifically for most improved)</w:t>
            </w:r>
          </w:p>
          <w:p w14:paraId="787BB940" w14:textId="56F77690" w:rsidR="00E66558" w:rsidRPr="00723D25" w:rsidRDefault="00E66558" w:rsidP="7F0E3B2E">
            <w:pPr>
              <w:pStyle w:val="TableRow"/>
              <w:ind w:left="0"/>
              <w:rPr>
                <w:sz w:val="22"/>
                <w:szCs w:val="22"/>
              </w:rPr>
            </w:pPr>
          </w:p>
          <w:p w14:paraId="65823699" w14:textId="71A3E44A" w:rsidR="00E66558" w:rsidRPr="00723D25" w:rsidRDefault="7BEF37A6" w:rsidP="7F0E3B2E">
            <w:pPr>
              <w:pStyle w:val="TableRow"/>
              <w:ind w:left="0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Embedding principles of good practice regarding attendance and close monitoring with tiered interventions</w:t>
            </w:r>
          </w:p>
          <w:p w14:paraId="3C151242" w14:textId="47196540" w:rsidR="00E66558" w:rsidRPr="00723D25" w:rsidRDefault="00E66558" w:rsidP="7F0E3B2E">
            <w:pPr>
              <w:pStyle w:val="TableRow"/>
              <w:ind w:left="0"/>
              <w:rPr>
                <w:sz w:val="22"/>
                <w:szCs w:val="22"/>
              </w:rPr>
            </w:pPr>
          </w:p>
          <w:p w14:paraId="4E684F71" w14:textId="73202C1B" w:rsidR="00E66558" w:rsidRPr="00723D25" w:rsidRDefault="066DE133" w:rsidP="7F0E3B2E">
            <w:pPr>
              <w:pStyle w:val="TableRow"/>
              <w:ind w:left="0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Parent workshops regarding post 16 pathways and LMI</w:t>
            </w:r>
          </w:p>
          <w:p w14:paraId="1721DC86" w14:textId="0961253C" w:rsidR="00E66558" w:rsidRPr="00723D25" w:rsidRDefault="00E66558" w:rsidP="7F0E3B2E">
            <w:pPr>
              <w:pStyle w:val="TableRow"/>
              <w:ind w:left="0"/>
              <w:rPr>
                <w:sz w:val="22"/>
                <w:szCs w:val="22"/>
              </w:rPr>
            </w:pPr>
          </w:p>
          <w:p w14:paraId="3FA4FE9A" w14:textId="16A1A475" w:rsidR="00E66558" w:rsidRPr="00723D25" w:rsidRDefault="066DE133" w:rsidP="7F0E3B2E">
            <w:pPr>
              <w:pStyle w:val="TableRow"/>
              <w:ind w:left="0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Non-academic interventions to support community interaction such as</w:t>
            </w:r>
          </w:p>
          <w:p w14:paraId="5A9FAEBA" w14:textId="6F6A6CCA" w:rsidR="00E66558" w:rsidRPr="00723D25" w:rsidRDefault="066DE133" w:rsidP="7F0E3B2E">
            <w:pPr>
              <w:pStyle w:val="TableRow"/>
              <w:ind w:left="0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ELSA</w:t>
            </w:r>
          </w:p>
          <w:p w14:paraId="2ECA6691" w14:textId="7C89FEBA" w:rsidR="00E66558" w:rsidRPr="00723D25" w:rsidRDefault="066DE133" w:rsidP="7F0E3B2E">
            <w:pPr>
              <w:pStyle w:val="TableRow"/>
              <w:ind w:left="0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Social Skills</w:t>
            </w:r>
          </w:p>
          <w:p w14:paraId="79927390" w14:textId="783C4D49" w:rsidR="00E66558" w:rsidRPr="00723D25" w:rsidRDefault="00E66558" w:rsidP="7F0E3B2E">
            <w:pPr>
              <w:pStyle w:val="TableRow"/>
              <w:ind w:left="0"/>
              <w:rPr>
                <w:sz w:val="22"/>
                <w:szCs w:val="22"/>
                <w:highlight w:val="yellow"/>
              </w:rPr>
            </w:pPr>
          </w:p>
          <w:p w14:paraId="12F3011A" w14:textId="5BEF1CE2" w:rsidR="00E66558" w:rsidRPr="00723D25" w:rsidRDefault="066DE133" w:rsidP="7F0E3B2E">
            <w:pPr>
              <w:pStyle w:val="TableRow"/>
              <w:ind w:left="0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Transport</w:t>
            </w:r>
            <w:r w:rsidR="1257AEB0" w:rsidRPr="7F0E3B2E">
              <w:rPr>
                <w:sz w:val="22"/>
                <w:szCs w:val="22"/>
              </w:rPr>
              <w:t xml:space="preserve">/technology </w:t>
            </w:r>
            <w:r w:rsidRPr="7F0E3B2E">
              <w:rPr>
                <w:sz w:val="22"/>
                <w:szCs w:val="22"/>
              </w:rPr>
              <w:t>support to access extra-</w:t>
            </w:r>
            <w:r w:rsidRPr="7F0E3B2E">
              <w:rPr>
                <w:sz w:val="22"/>
                <w:szCs w:val="22"/>
              </w:rPr>
              <w:lastRenderedPageBreak/>
              <w:t xml:space="preserve">curricular </w:t>
            </w:r>
            <w:r w:rsidR="3299D8A7" w:rsidRPr="7F0E3B2E">
              <w:rPr>
                <w:sz w:val="22"/>
                <w:szCs w:val="22"/>
              </w:rPr>
              <w:t xml:space="preserve">and careers related </w:t>
            </w:r>
            <w:r w:rsidRPr="7F0E3B2E">
              <w:rPr>
                <w:sz w:val="22"/>
                <w:szCs w:val="22"/>
              </w:rPr>
              <w:t>activities</w:t>
            </w:r>
          </w:p>
          <w:p w14:paraId="22E2BFA6" w14:textId="7044C99A" w:rsidR="00E66558" w:rsidRPr="00723D25" w:rsidRDefault="00E66558" w:rsidP="7F0E3B2E">
            <w:pPr>
              <w:pStyle w:val="TableRow"/>
              <w:ind w:left="0"/>
              <w:rPr>
                <w:sz w:val="22"/>
                <w:szCs w:val="22"/>
              </w:rPr>
            </w:pPr>
          </w:p>
          <w:p w14:paraId="2A7D5538" w14:textId="386D4637" w:rsidR="00E66558" w:rsidRPr="00723D25" w:rsidRDefault="6428FDCF" w:rsidP="45D2CA4F">
            <w:pPr>
              <w:pStyle w:val="TableRow"/>
              <w:ind w:left="0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Breakfast club to ensure pupils are able to learn on arrival at school</w:t>
            </w:r>
          </w:p>
        </w:tc>
        <w:tc>
          <w:tcPr>
            <w:tcW w:w="5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4689" w14:textId="6CE75C61" w:rsidR="66FBCE2F" w:rsidRDefault="009F5F47" w:rsidP="7F0E3B2E">
            <w:pPr>
              <w:pStyle w:val="TableRowCentered"/>
              <w:jc w:val="left"/>
            </w:pPr>
            <w:hyperlink r:id="rId21">
              <w:r w:rsidR="66FBCE2F" w:rsidRPr="7F0E3B2E">
                <w:rPr>
                  <w:rStyle w:val="Hyperlink"/>
                </w:rPr>
                <w:t>https://www.gov.uk/government/publications/working-together-to-improve-school-attendance</w:t>
              </w:r>
            </w:hyperlink>
          </w:p>
          <w:p w14:paraId="1F58C3E3" w14:textId="2610DF88" w:rsidR="7F0E3B2E" w:rsidRDefault="7F0E3B2E" w:rsidP="7F0E3B2E">
            <w:pPr>
              <w:pStyle w:val="TableRowCentered"/>
              <w:jc w:val="left"/>
            </w:pPr>
          </w:p>
          <w:p w14:paraId="7AA93105" w14:textId="6A07E107" w:rsidR="7F0E3B2E" w:rsidRDefault="7F0E3B2E" w:rsidP="7F0E3B2E">
            <w:pPr>
              <w:pStyle w:val="TableRowCentered"/>
              <w:jc w:val="left"/>
            </w:pPr>
          </w:p>
          <w:p w14:paraId="05F9B053" w14:textId="56381640" w:rsidR="7F0E3B2E" w:rsidRDefault="7F0E3B2E" w:rsidP="7F0E3B2E">
            <w:pPr>
              <w:pStyle w:val="TableRowCentered"/>
              <w:jc w:val="left"/>
            </w:pPr>
          </w:p>
          <w:p w14:paraId="3B8A677B" w14:textId="52574503" w:rsidR="7F0E3B2E" w:rsidRDefault="7F0E3B2E" w:rsidP="7F0E3B2E">
            <w:pPr>
              <w:pStyle w:val="TableRowCentered"/>
              <w:jc w:val="left"/>
            </w:pPr>
          </w:p>
          <w:p w14:paraId="01AC9208" w14:textId="0E99358C" w:rsidR="00E66558" w:rsidRDefault="00E66558" w:rsidP="080C1BA7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4AAE007B" w14:textId="04782B2A" w:rsidR="7F0E3B2E" w:rsidRDefault="7F0E3B2E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1F4FDE88" w14:textId="36950E22" w:rsidR="00E66558" w:rsidRDefault="00E66558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2AA4B878" w14:textId="3C95BA11" w:rsidR="00E66558" w:rsidRDefault="009F5F47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22">
              <w:r w:rsidR="0E37F7BA" w:rsidRPr="7F0E3B2E">
                <w:rPr>
                  <w:rStyle w:val="Hyperlink"/>
                </w:rPr>
                <w:t>https://educationendowmentfoundation.org.uk/education-evidence/teaching-learning-toolkit/parental-engagement</w:t>
              </w:r>
            </w:hyperlink>
          </w:p>
          <w:p w14:paraId="46549402" w14:textId="0C2EA50C" w:rsidR="00E66558" w:rsidRDefault="00E66558" w:rsidP="7F0E3B2E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0FA7F45B" w14:textId="4F98D32B" w:rsidR="00E66558" w:rsidRDefault="009F5F47" w:rsidP="7F0E3B2E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23">
              <w:r w:rsidR="79A3AEB9" w:rsidRPr="7F0E3B2E">
                <w:rPr>
                  <w:rStyle w:val="Hyperlink"/>
                </w:rPr>
                <w:t>https://educationendowmentfoundation.org.uk/education-evidence/teaching-learning-toolkit/social-and-emotional-learning</w:t>
              </w:r>
            </w:hyperlink>
          </w:p>
          <w:p w14:paraId="2A7D5539" w14:textId="07EE9D1C" w:rsidR="00E66558" w:rsidRDefault="00E66558" w:rsidP="45D2CA4F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9C8F" w14:textId="7FC8F0B6" w:rsidR="00E66558" w:rsidRDefault="066DE133" w:rsidP="080C1BA7">
            <w:pPr>
              <w:pStyle w:val="TableRowCentered"/>
              <w:jc w:val="left"/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3 and 4</w:t>
            </w:r>
          </w:p>
          <w:p w14:paraId="60F01C5F" w14:textId="3F930797" w:rsidR="00E66558" w:rsidRDefault="00E66558" w:rsidP="080C1BA7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0B34E3BB" w14:textId="798A6952" w:rsidR="00E66558" w:rsidRDefault="00E66558" w:rsidP="080C1BA7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2039D413" w14:textId="769EB87E" w:rsidR="00E66558" w:rsidRDefault="00E66558" w:rsidP="080C1BA7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5FC23A26" w14:textId="1227B1A3" w:rsidR="00E66558" w:rsidRDefault="00E66558" w:rsidP="080C1BA7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2FAAE09D" w14:textId="3D5BB049" w:rsidR="00E66558" w:rsidRDefault="00E66558" w:rsidP="080C1BA7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2A7D553A" w14:textId="2B309BD2" w:rsidR="00E66558" w:rsidRDefault="00E66558" w:rsidP="080C1BA7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</w:tbl>
    <w:p w14:paraId="2A7D5541" w14:textId="54CD7FA3" w:rsidR="00E66558" w:rsidRDefault="49321731" w:rsidP="7F0E3B2E">
      <w:pPr>
        <w:spacing w:before="240" w:after="0"/>
        <w:rPr>
          <w:b/>
          <w:bCs/>
          <w:color w:val="104F75"/>
          <w:sz w:val="28"/>
          <w:szCs w:val="28"/>
        </w:rPr>
      </w:pPr>
      <w:r w:rsidRPr="7F0E3B2E">
        <w:rPr>
          <w:b/>
          <w:bCs/>
          <w:color w:val="104F75"/>
          <w:sz w:val="28"/>
          <w:szCs w:val="28"/>
        </w:rPr>
        <w:t xml:space="preserve">Total budgeted cost: </w:t>
      </w:r>
      <w:r w:rsidR="061F2CDD" w:rsidRPr="7F0E3B2E">
        <w:rPr>
          <w:b/>
          <w:bCs/>
          <w:color w:val="104F75"/>
          <w:sz w:val="28"/>
          <w:szCs w:val="28"/>
        </w:rPr>
        <w:t>£</w:t>
      </w:r>
      <w:r w:rsidR="219C8411" w:rsidRPr="7F0E3B2E">
        <w:rPr>
          <w:b/>
          <w:bCs/>
          <w:color w:val="104F75"/>
          <w:sz w:val="28"/>
          <w:szCs w:val="28"/>
        </w:rPr>
        <w:t>9500</w:t>
      </w:r>
    </w:p>
    <w:bookmarkEnd w:id="14"/>
    <w:bookmarkEnd w:id="15"/>
    <w:bookmarkEnd w:id="16"/>
    <w:p w14:paraId="25FC77FC" w14:textId="56C206B8" w:rsidR="080C1BA7" w:rsidRDefault="5357FBC0" w:rsidP="45D2CA4F">
      <w:pPr>
        <w:rPr>
          <w:i/>
          <w:iCs/>
          <w:color w:val="auto"/>
          <w:sz w:val="22"/>
          <w:szCs w:val="22"/>
        </w:rPr>
      </w:pPr>
      <w:r w:rsidRPr="45D2CA4F">
        <w:rPr>
          <w:i/>
          <w:iCs/>
          <w:color w:val="auto"/>
          <w:sz w:val="22"/>
          <w:szCs w:val="22"/>
        </w:rPr>
        <w:t xml:space="preserve">*Any </w:t>
      </w:r>
      <w:r w:rsidR="560D5F4A" w:rsidRPr="45D2CA4F">
        <w:rPr>
          <w:i/>
          <w:iCs/>
          <w:color w:val="auto"/>
          <w:sz w:val="22"/>
          <w:szCs w:val="22"/>
        </w:rPr>
        <w:t xml:space="preserve">surplus </w:t>
      </w:r>
      <w:r w:rsidRPr="45D2CA4F">
        <w:rPr>
          <w:i/>
          <w:iCs/>
          <w:color w:val="auto"/>
          <w:sz w:val="22"/>
          <w:szCs w:val="22"/>
        </w:rPr>
        <w:t xml:space="preserve">funding </w:t>
      </w:r>
      <w:r w:rsidR="0CA4BFAD" w:rsidRPr="45D2CA4F">
        <w:rPr>
          <w:i/>
          <w:iCs/>
          <w:color w:val="auto"/>
          <w:sz w:val="22"/>
          <w:szCs w:val="22"/>
        </w:rPr>
        <w:t>will be</w:t>
      </w:r>
      <w:r w:rsidRPr="45D2CA4F">
        <w:rPr>
          <w:i/>
          <w:iCs/>
          <w:color w:val="auto"/>
          <w:sz w:val="22"/>
          <w:szCs w:val="22"/>
        </w:rPr>
        <w:t xml:space="preserve"> used </w:t>
      </w:r>
      <w:r w:rsidR="5D15EE4B" w:rsidRPr="45D2CA4F">
        <w:rPr>
          <w:i/>
          <w:iCs/>
          <w:color w:val="auto"/>
          <w:sz w:val="22"/>
          <w:szCs w:val="22"/>
        </w:rPr>
        <w:t xml:space="preserve">to support pupils </w:t>
      </w:r>
      <w:r w:rsidR="480BDAD4" w:rsidRPr="45D2CA4F">
        <w:rPr>
          <w:i/>
          <w:iCs/>
          <w:color w:val="auto"/>
          <w:sz w:val="22"/>
          <w:szCs w:val="22"/>
        </w:rPr>
        <w:t xml:space="preserve">academic and holistic progress </w:t>
      </w:r>
      <w:r w:rsidR="5D15EE4B" w:rsidRPr="45D2CA4F">
        <w:rPr>
          <w:i/>
          <w:iCs/>
          <w:color w:val="auto"/>
          <w:sz w:val="22"/>
          <w:szCs w:val="22"/>
        </w:rPr>
        <w:t>should funding not be released by mainstream settings</w:t>
      </w:r>
      <w:r w:rsidR="39F593F9" w:rsidRPr="45D2CA4F">
        <w:rPr>
          <w:i/>
          <w:iCs/>
          <w:color w:val="auto"/>
          <w:sz w:val="22"/>
          <w:szCs w:val="22"/>
        </w:rPr>
        <w:t xml:space="preserve">. </w:t>
      </w:r>
      <w:r w:rsidR="3706D797" w:rsidRPr="45D2CA4F">
        <w:rPr>
          <w:i/>
          <w:iCs/>
          <w:color w:val="auto"/>
          <w:sz w:val="22"/>
          <w:szCs w:val="22"/>
        </w:rPr>
        <w:t>For example, i</w:t>
      </w:r>
      <w:r w:rsidR="39F593F9" w:rsidRPr="45D2CA4F">
        <w:rPr>
          <w:i/>
          <w:iCs/>
          <w:color w:val="auto"/>
          <w:sz w:val="22"/>
          <w:szCs w:val="22"/>
        </w:rPr>
        <w:t xml:space="preserve">tems such as school </w:t>
      </w:r>
      <w:r w:rsidR="7534A768" w:rsidRPr="45D2CA4F">
        <w:rPr>
          <w:i/>
          <w:iCs/>
          <w:color w:val="auto"/>
          <w:sz w:val="22"/>
          <w:szCs w:val="22"/>
        </w:rPr>
        <w:t xml:space="preserve">trips, </w:t>
      </w:r>
      <w:r w:rsidRPr="45D2CA4F">
        <w:rPr>
          <w:i/>
          <w:iCs/>
          <w:color w:val="auto"/>
          <w:sz w:val="22"/>
          <w:szCs w:val="22"/>
        </w:rPr>
        <w:t>specialist resources</w:t>
      </w:r>
      <w:r w:rsidR="02F33F2F" w:rsidRPr="45D2CA4F">
        <w:rPr>
          <w:i/>
          <w:iCs/>
          <w:color w:val="auto"/>
          <w:sz w:val="22"/>
          <w:szCs w:val="22"/>
        </w:rPr>
        <w:t xml:space="preserve">, </w:t>
      </w:r>
      <w:r w:rsidR="2DDE85A0" w:rsidRPr="45D2CA4F">
        <w:rPr>
          <w:i/>
          <w:iCs/>
          <w:color w:val="auto"/>
          <w:sz w:val="22"/>
          <w:szCs w:val="22"/>
        </w:rPr>
        <w:t xml:space="preserve">additional </w:t>
      </w:r>
      <w:r w:rsidR="02F33F2F" w:rsidRPr="45D2CA4F">
        <w:rPr>
          <w:i/>
          <w:iCs/>
          <w:color w:val="auto"/>
          <w:sz w:val="22"/>
          <w:szCs w:val="22"/>
        </w:rPr>
        <w:t>transition support</w:t>
      </w:r>
      <w:r w:rsidR="388EF177" w:rsidRPr="45D2CA4F">
        <w:rPr>
          <w:i/>
          <w:iCs/>
          <w:color w:val="auto"/>
          <w:sz w:val="22"/>
          <w:szCs w:val="22"/>
        </w:rPr>
        <w:t>, extra-curricular music lessons.</w:t>
      </w:r>
    </w:p>
    <w:p w14:paraId="541C4747" w14:textId="2CB248D7" w:rsidR="080C1BA7" w:rsidRDefault="080C1BA7" w:rsidP="45D2CA4F">
      <w:pPr>
        <w:rPr>
          <w:i/>
          <w:iCs/>
          <w:color w:val="auto"/>
          <w:sz w:val="22"/>
          <w:szCs w:val="22"/>
        </w:rPr>
      </w:pPr>
    </w:p>
    <w:p w14:paraId="4C264E5C" w14:textId="4B6BD074" w:rsidR="080C1BA7" w:rsidRDefault="080C1BA7" w:rsidP="080C1BA7"/>
    <w:p w14:paraId="4A9E9B62" w14:textId="3203C036" w:rsidR="678F479F" w:rsidRDefault="678F479F" w:rsidP="7F0E3B2E">
      <w:pPr>
        <w:pStyle w:val="Heading2"/>
      </w:pPr>
      <w:r>
        <w:t xml:space="preserve">Part B: </w:t>
      </w:r>
      <w:r w:rsidR="49C26FED">
        <w:t xml:space="preserve">Review of the previous academic year </w:t>
      </w:r>
    </w:p>
    <w:p w14:paraId="50F53C0B" w14:textId="6272149F" w:rsidR="206D5EFF" w:rsidRDefault="206D5EFF" w:rsidP="7F0E3B2E">
      <w:pPr>
        <w:pStyle w:val="Heading2"/>
      </w:pPr>
      <w:r>
        <w:t>2024-25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27"/>
        <w:gridCol w:w="3757"/>
        <w:gridCol w:w="3872"/>
        <w:gridCol w:w="4732"/>
      </w:tblGrid>
      <w:tr w:rsidR="7F0E3B2E" w14:paraId="28841FA3" w14:textId="77777777" w:rsidTr="7F0E3B2E">
        <w:trPr>
          <w:trHeight w:val="300"/>
        </w:trPr>
        <w:tc>
          <w:tcPr>
            <w:tcW w:w="3078" w:type="dxa"/>
          </w:tcPr>
          <w:p w14:paraId="5F66971C" w14:textId="66AFC896" w:rsidR="49C26FED" w:rsidRDefault="49C26FED" w:rsidP="7F0E3B2E">
            <w:r>
              <w:t>Data</w:t>
            </w:r>
          </w:p>
        </w:tc>
        <w:tc>
          <w:tcPr>
            <w:tcW w:w="3555" w:type="dxa"/>
            <w:shd w:val="clear" w:color="auto" w:fill="C6D9F1" w:themeFill="text2" w:themeFillTint="33"/>
          </w:tcPr>
          <w:p w14:paraId="2683EFE7" w14:textId="502A5FCC" w:rsidR="49C26FED" w:rsidRDefault="49C26FED" w:rsidP="7F0E3B2E">
            <w:pPr>
              <w:rPr>
                <w:sz w:val="16"/>
                <w:szCs w:val="16"/>
              </w:rPr>
            </w:pPr>
            <w:r>
              <w:t>Comparable setting (AP</w:t>
            </w:r>
            <w:r w:rsidR="6DBC1BBC">
              <w:t xml:space="preserve"> 202</w:t>
            </w:r>
            <w:r w:rsidR="4FE12EA1">
              <w:t>4</w:t>
            </w:r>
            <w:r w:rsidR="6DBC1BBC">
              <w:t>-2</w:t>
            </w:r>
            <w:r w:rsidR="04F748F1">
              <w:t>5</w:t>
            </w:r>
            <w:r>
              <w:t>)</w:t>
            </w:r>
          </w:p>
          <w:p w14:paraId="124B6ACB" w14:textId="108F93F1" w:rsidR="4E6440BD" w:rsidRDefault="4E6440BD" w:rsidP="7F0E3B2E">
            <w:pPr>
              <w:rPr>
                <w:sz w:val="16"/>
                <w:szCs w:val="16"/>
              </w:rPr>
            </w:pPr>
            <w:r w:rsidRPr="7F0E3B2E">
              <w:rPr>
                <w:sz w:val="16"/>
                <w:szCs w:val="16"/>
              </w:rPr>
              <w:t>https://explore-education-statistics.service.gov.uk/data-catalogue?dataSetType=api&amp;themeId=74648781-85a9-4233-8be3-fe6f137165f4&amp;sortBy=newest&amp;page=4</w:t>
            </w:r>
          </w:p>
        </w:tc>
        <w:tc>
          <w:tcPr>
            <w:tcW w:w="3960" w:type="dxa"/>
            <w:shd w:val="clear" w:color="auto" w:fill="95B3D7" w:themeFill="accent1" w:themeFillTint="99"/>
          </w:tcPr>
          <w:p w14:paraId="36D11C23" w14:textId="57202B95" w:rsidR="49C26FED" w:rsidRDefault="49C26FED" w:rsidP="7F0E3B2E">
            <w:r>
              <w:t>Whole school cohort</w:t>
            </w:r>
          </w:p>
        </w:tc>
        <w:tc>
          <w:tcPr>
            <w:tcW w:w="4851" w:type="dxa"/>
            <w:shd w:val="clear" w:color="auto" w:fill="C6D9F1" w:themeFill="text2" w:themeFillTint="33"/>
          </w:tcPr>
          <w:p w14:paraId="20F7D64E" w14:textId="61D2C7E0" w:rsidR="49C26FED" w:rsidRDefault="49C26FED" w:rsidP="7F0E3B2E">
            <w:r>
              <w:t>Pupil premium cohort</w:t>
            </w:r>
          </w:p>
        </w:tc>
      </w:tr>
      <w:tr w:rsidR="7F0E3B2E" w14:paraId="31DBDEE9" w14:textId="77777777" w:rsidTr="7F0E3B2E">
        <w:trPr>
          <w:trHeight w:val="300"/>
        </w:trPr>
        <w:tc>
          <w:tcPr>
            <w:tcW w:w="3078" w:type="dxa"/>
          </w:tcPr>
          <w:p w14:paraId="371A0090" w14:textId="4D572890" w:rsidR="49C26FED" w:rsidRDefault="49C26FED" w:rsidP="7F0E3B2E">
            <w:r>
              <w:lastRenderedPageBreak/>
              <w:t>Y11 attainment</w:t>
            </w:r>
          </w:p>
          <w:p w14:paraId="3093E760" w14:textId="237A7AC9" w:rsidR="72C73A85" w:rsidRDefault="72C73A85" w:rsidP="7F0E3B2E">
            <w:pPr>
              <w:rPr>
                <w:i/>
                <w:iCs/>
              </w:rPr>
            </w:pPr>
            <w:r w:rsidRPr="7F0E3B2E">
              <w:rPr>
                <w:i/>
                <w:iCs/>
              </w:rPr>
              <w:t>*No primary pupils entered</w:t>
            </w:r>
            <w:r w:rsidR="18733CC4" w:rsidRPr="7F0E3B2E">
              <w:rPr>
                <w:i/>
                <w:iCs/>
              </w:rPr>
              <w:t xml:space="preserve"> for assessment</w:t>
            </w:r>
            <w:r w:rsidRPr="7F0E3B2E">
              <w:rPr>
                <w:i/>
                <w:iCs/>
              </w:rPr>
              <w:t xml:space="preserve"> by mainstream se</w:t>
            </w:r>
            <w:r w:rsidR="0E9FC1E2" w:rsidRPr="7F0E3B2E">
              <w:rPr>
                <w:i/>
                <w:iCs/>
              </w:rPr>
              <w:t>ttings</w:t>
            </w:r>
          </w:p>
        </w:tc>
        <w:tc>
          <w:tcPr>
            <w:tcW w:w="3555" w:type="dxa"/>
            <w:shd w:val="clear" w:color="auto" w:fill="C6D9F1" w:themeFill="text2" w:themeFillTint="33"/>
          </w:tcPr>
          <w:p w14:paraId="62DEBB88" w14:textId="615054D7" w:rsidR="49C26FED" w:rsidRDefault="49C26FED" w:rsidP="7F0E3B2E">
            <w:r>
              <w:t>Grade 4</w:t>
            </w:r>
            <w:r w:rsidR="3CEFFAD2">
              <w:t>+</w:t>
            </w:r>
            <w:r>
              <w:t xml:space="preserve"> Eng and Maths:</w:t>
            </w:r>
            <w:r w:rsidR="65ACFE7E">
              <w:t xml:space="preserve"> </w:t>
            </w:r>
            <w:r w:rsidR="754FBC58">
              <w:t>7%</w:t>
            </w:r>
          </w:p>
          <w:p w14:paraId="7235DECB" w14:textId="5F4C3AA6" w:rsidR="49C26FED" w:rsidRDefault="49C26FED" w:rsidP="7F0E3B2E">
            <w:r>
              <w:t>Grade 4 Eng:</w:t>
            </w:r>
            <w:r w:rsidR="31DCA246">
              <w:t xml:space="preserve"> 13%</w:t>
            </w:r>
          </w:p>
          <w:p w14:paraId="26E82E83" w14:textId="6183B13E" w:rsidR="49C26FED" w:rsidRDefault="49C26FED" w:rsidP="7F0E3B2E">
            <w:r>
              <w:t>Grade 4 Maths:</w:t>
            </w:r>
            <w:r w:rsidR="1A189A90">
              <w:t xml:space="preserve"> 13%</w:t>
            </w:r>
          </w:p>
          <w:p w14:paraId="211E7336" w14:textId="4F189EE2" w:rsidR="49C26FED" w:rsidRDefault="49C26FED" w:rsidP="7F0E3B2E">
            <w:r>
              <w:t>Grade 4 Science:</w:t>
            </w:r>
            <w:r w:rsidR="7221D278">
              <w:t xml:space="preserve"> 11%</w:t>
            </w:r>
          </w:p>
        </w:tc>
        <w:tc>
          <w:tcPr>
            <w:tcW w:w="3960" w:type="dxa"/>
            <w:shd w:val="clear" w:color="auto" w:fill="95B3D7" w:themeFill="accent1" w:themeFillTint="99"/>
          </w:tcPr>
          <w:p w14:paraId="634E5D19" w14:textId="257A15DD" w:rsidR="7F0E3B2E" w:rsidRDefault="7F0E3B2E" w:rsidP="7F0E3B2E">
            <w:r>
              <w:t>Grade 4+ Eng and Maths:  2</w:t>
            </w:r>
            <w:r w:rsidR="627ADCB1">
              <w:t>6</w:t>
            </w:r>
            <w:r>
              <w:t>%</w:t>
            </w:r>
          </w:p>
          <w:p w14:paraId="12E74F32" w14:textId="1B341754" w:rsidR="7F0E3B2E" w:rsidRDefault="7F0E3B2E" w:rsidP="7F0E3B2E">
            <w:r>
              <w:t xml:space="preserve">Grade 4+ Eng: </w:t>
            </w:r>
            <w:r w:rsidR="6C78E8D8">
              <w:t>40%</w:t>
            </w:r>
          </w:p>
          <w:p w14:paraId="4809D663" w14:textId="39B23B0D" w:rsidR="7F0E3B2E" w:rsidRDefault="7F0E3B2E" w:rsidP="7F0E3B2E">
            <w:r>
              <w:t>Grade 4+ Maths:</w:t>
            </w:r>
            <w:r w:rsidR="5F40B27A">
              <w:t xml:space="preserve"> </w:t>
            </w:r>
            <w:r w:rsidR="4C233D2A">
              <w:t>36%</w:t>
            </w:r>
          </w:p>
          <w:p w14:paraId="4737C7C4" w14:textId="735E4874" w:rsidR="7F0E3B2E" w:rsidRDefault="7F0E3B2E" w:rsidP="7F0E3B2E">
            <w:r>
              <w:t>Grade 4+ Science:</w:t>
            </w:r>
            <w:r w:rsidR="317462AC">
              <w:t xml:space="preserve"> </w:t>
            </w:r>
            <w:r w:rsidR="484FB72D">
              <w:t xml:space="preserve">51% </w:t>
            </w:r>
          </w:p>
        </w:tc>
        <w:tc>
          <w:tcPr>
            <w:tcW w:w="4851" w:type="dxa"/>
            <w:shd w:val="clear" w:color="auto" w:fill="C6D9F1" w:themeFill="text2" w:themeFillTint="33"/>
          </w:tcPr>
          <w:p w14:paraId="5D78D6DE" w14:textId="6421A1D2" w:rsidR="7F0E3B2E" w:rsidRDefault="7F0E3B2E" w:rsidP="7F0E3B2E">
            <w:r>
              <w:t>Grade 4+ Eng and Maths:</w:t>
            </w:r>
            <w:r w:rsidR="68C063F5">
              <w:t xml:space="preserve"> </w:t>
            </w:r>
            <w:r w:rsidR="37C28F6F">
              <w:t>20%</w:t>
            </w:r>
          </w:p>
          <w:p w14:paraId="7E349C0F" w14:textId="1DD5A7CF" w:rsidR="7F0E3B2E" w:rsidRDefault="7F0E3B2E" w:rsidP="7F0E3B2E">
            <w:r>
              <w:t>Grade 4+ Eng:</w:t>
            </w:r>
            <w:r w:rsidR="4D535632">
              <w:t xml:space="preserve"> </w:t>
            </w:r>
            <w:r w:rsidR="5FB699DF">
              <w:t>47%</w:t>
            </w:r>
          </w:p>
          <w:p w14:paraId="4C49E27D" w14:textId="6DF08CE0" w:rsidR="7F0E3B2E" w:rsidRDefault="7F0E3B2E" w:rsidP="7F0E3B2E">
            <w:r>
              <w:t>Grade 4+ Maths:</w:t>
            </w:r>
            <w:r w:rsidR="7E960263">
              <w:t xml:space="preserve"> </w:t>
            </w:r>
            <w:r w:rsidR="0E60BC17">
              <w:t>27%</w:t>
            </w:r>
          </w:p>
          <w:p w14:paraId="314B21E4" w14:textId="06250B09" w:rsidR="7F0E3B2E" w:rsidRDefault="7F0E3B2E" w:rsidP="7F0E3B2E">
            <w:r>
              <w:t>Grade 4+ Science:</w:t>
            </w:r>
            <w:r w:rsidR="2CB3507E">
              <w:t xml:space="preserve"> </w:t>
            </w:r>
            <w:r w:rsidR="14EBC3C5">
              <w:t>47</w:t>
            </w:r>
            <w:r w:rsidR="2CB3507E">
              <w:t>%</w:t>
            </w:r>
          </w:p>
        </w:tc>
      </w:tr>
      <w:tr w:rsidR="7F0E3B2E" w14:paraId="11FD6A29" w14:textId="77777777" w:rsidTr="7F0E3B2E">
        <w:trPr>
          <w:trHeight w:val="300"/>
        </w:trPr>
        <w:tc>
          <w:tcPr>
            <w:tcW w:w="3078" w:type="dxa"/>
          </w:tcPr>
          <w:p w14:paraId="79FD0197" w14:textId="66930941" w:rsidR="49C26FED" w:rsidRDefault="49C26FED" w:rsidP="7F0E3B2E">
            <w:r>
              <w:t>Destinations</w:t>
            </w:r>
          </w:p>
        </w:tc>
        <w:tc>
          <w:tcPr>
            <w:tcW w:w="3555" w:type="dxa"/>
            <w:shd w:val="clear" w:color="auto" w:fill="C6D9F1" w:themeFill="text2" w:themeFillTint="33"/>
          </w:tcPr>
          <w:p w14:paraId="0E56F017" w14:textId="2CF68299" w:rsidR="49C26FED" w:rsidRDefault="49C26FED" w:rsidP="7F0E3B2E">
            <w:r>
              <w:t>Sustained post 16 destination</w:t>
            </w:r>
            <w:r w:rsidR="730E3C8B">
              <w:t xml:space="preserve"> (</w:t>
            </w:r>
            <w:proofErr w:type="gramStart"/>
            <w:r w:rsidR="730E3C8B">
              <w:t xml:space="preserve">AP) </w:t>
            </w:r>
            <w:r w:rsidR="1DDC71F3">
              <w:t xml:space="preserve"> (</w:t>
            </w:r>
            <w:proofErr w:type="gramEnd"/>
            <w:r w:rsidR="1DDC71F3">
              <w:t>23/24)</w:t>
            </w:r>
            <w:r>
              <w:t>:</w:t>
            </w:r>
            <w:r w:rsidR="3D04DDF1">
              <w:t xml:space="preserve"> 79%</w:t>
            </w:r>
          </w:p>
        </w:tc>
        <w:tc>
          <w:tcPr>
            <w:tcW w:w="3960" w:type="dxa"/>
            <w:shd w:val="clear" w:color="auto" w:fill="95B3D7" w:themeFill="accent1" w:themeFillTint="99"/>
          </w:tcPr>
          <w:p w14:paraId="6F928F0C" w14:textId="4876E0FD" w:rsidR="7F0E3B2E" w:rsidRDefault="7F0E3B2E" w:rsidP="7F0E3B2E">
            <w:r>
              <w:t>Sustained post 16 destination</w:t>
            </w:r>
            <w:r w:rsidR="22367AF4">
              <w:t xml:space="preserve"> (2</w:t>
            </w:r>
            <w:r w:rsidR="65F1DD8F">
              <w:t>3</w:t>
            </w:r>
            <w:r w:rsidR="22367AF4">
              <w:t>/2</w:t>
            </w:r>
            <w:r w:rsidR="3870D14D">
              <w:t>4</w:t>
            </w:r>
            <w:r w:rsidR="22367AF4">
              <w:t>)</w:t>
            </w:r>
            <w:r w:rsidR="328E55E9">
              <w:t xml:space="preserve">: </w:t>
            </w:r>
            <w:r w:rsidR="28BD9272">
              <w:t>85%</w:t>
            </w:r>
          </w:p>
        </w:tc>
        <w:tc>
          <w:tcPr>
            <w:tcW w:w="4851" w:type="dxa"/>
            <w:shd w:val="clear" w:color="auto" w:fill="C6D9F1" w:themeFill="text2" w:themeFillTint="33"/>
          </w:tcPr>
          <w:p w14:paraId="03B78584" w14:textId="64EE1D76" w:rsidR="7F0E3B2E" w:rsidRDefault="7F0E3B2E" w:rsidP="7F0E3B2E">
            <w:r>
              <w:t>Sustained post 16 destination</w:t>
            </w:r>
            <w:r w:rsidR="7C0749F6">
              <w:t xml:space="preserve"> (23/24)</w:t>
            </w:r>
            <w:r>
              <w:t>:</w:t>
            </w:r>
            <w:r w:rsidR="7949BD94">
              <w:t xml:space="preserve"> </w:t>
            </w:r>
            <w:r w:rsidR="7F660274">
              <w:t>81%</w:t>
            </w:r>
          </w:p>
          <w:p w14:paraId="69F9642D" w14:textId="566166D1" w:rsidR="7F0E3B2E" w:rsidRDefault="7F0E3B2E" w:rsidP="7F0E3B2E"/>
        </w:tc>
      </w:tr>
      <w:tr w:rsidR="7F0E3B2E" w14:paraId="30ABA0B4" w14:textId="77777777" w:rsidTr="7F0E3B2E">
        <w:trPr>
          <w:trHeight w:val="300"/>
        </w:trPr>
        <w:tc>
          <w:tcPr>
            <w:tcW w:w="3078" w:type="dxa"/>
          </w:tcPr>
          <w:p w14:paraId="18A9D6F2" w14:textId="0FE3A1D2" w:rsidR="49C26FED" w:rsidRDefault="49C26FED" w:rsidP="7F0E3B2E">
            <w:r>
              <w:t>Attendance</w:t>
            </w:r>
            <w:r w:rsidR="55A9696E">
              <w:t xml:space="preserve"> </w:t>
            </w:r>
          </w:p>
          <w:p w14:paraId="53BFDE21" w14:textId="7E4F9187" w:rsidR="55A9696E" w:rsidRDefault="55A9696E" w:rsidP="7F0E3B2E">
            <w:pPr>
              <w:rPr>
                <w:i/>
                <w:iCs/>
              </w:rPr>
            </w:pPr>
            <w:r w:rsidRPr="7F0E3B2E">
              <w:rPr>
                <w:i/>
                <w:iCs/>
              </w:rPr>
              <w:t>(including home taught)</w:t>
            </w:r>
          </w:p>
        </w:tc>
        <w:tc>
          <w:tcPr>
            <w:tcW w:w="3555" w:type="dxa"/>
            <w:shd w:val="clear" w:color="auto" w:fill="C6D9F1" w:themeFill="text2" w:themeFillTint="33"/>
          </w:tcPr>
          <w:p w14:paraId="6C10C05C" w14:textId="429C628D" w:rsidR="34ED4756" w:rsidRDefault="34ED4756" w:rsidP="7F0E3B2E">
            <w:r>
              <w:t>Not available for comparative settings</w:t>
            </w:r>
          </w:p>
        </w:tc>
        <w:tc>
          <w:tcPr>
            <w:tcW w:w="3960" w:type="dxa"/>
            <w:shd w:val="clear" w:color="auto" w:fill="95B3D7" w:themeFill="accent1" w:themeFillTint="99"/>
          </w:tcPr>
          <w:p w14:paraId="12264675" w14:textId="036A8065" w:rsidR="7F0E3B2E" w:rsidRDefault="7F0E3B2E" w:rsidP="7F0E3B2E">
            <w:proofErr w:type="spellStart"/>
            <w:r>
              <w:t>Fte</w:t>
            </w:r>
            <w:proofErr w:type="spellEnd"/>
            <w:r>
              <w:t>:</w:t>
            </w:r>
            <w:r w:rsidR="5E29C04B">
              <w:t xml:space="preserve"> 33%</w:t>
            </w:r>
          </w:p>
          <w:p w14:paraId="30D45BD6" w14:textId="616BEF13" w:rsidR="7F0E3B2E" w:rsidRDefault="7F0E3B2E" w:rsidP="7F0E3B2E">
            <w:r>
              <w:t>Provision offered:</w:t>
            </w:r>
            <w:r w:rsidR="48A831B7">
              <w:t xml:space="preserve"> 71%</w:t>
            </w:r>
          </w:p>
        </w:tc>
        <w:tc>
          <w:tcPr>
            <w:tcW w:w="4851" w:type="dxa"/>
            <w:shd w:val="clear" w:color="auto" w:fill="C6D9F1" w:themeFill="text2" w:themeFillTint="33"/>
          </w:tcPr>
          <w:p w14:paraId="65E7E6FF" w14:textId="34E62826" w:rsidR="7F0E3B2E" w:rsidRDefault="7F0E3B2E" w:rsidP="7F0E3B2E">
            <w:proofErr w:type="spellStart"/>
            <w:r>
              <w:t>Fte</w:t>
            </w:r>
            <w:proofErr w:type="spellEnd"/>
            <w:r>
              <w:t>:</w:t>
            </w:r>
            <w:r w:rsidR="567FC128">
              <w:t xml:space="preserve"> 32%</w:t>
            </w:r>
          </w:p>
          <w:p w14:paraId="14BEB124" w14:textId="0F1F9AA1" w:rsidR="7F0E3B2E" w:rsidRDefault="7F0E3B2E" w:rsidP="7F0E3B2E">
            <w:r>
              <w:t>Provision offered:</w:t>
            </w:r>
            <w:r w:rsidR="72F20253">
              <w:t xml:space="preserve"> 69%</w:t>
            </w:r>
          </w:p>
        </w:tc>
      </w:tr>
      <w:tr w:rsidR="7F0E3B2E" w14:paraId="6EE84B48" w14:textId="77777777" w:rsidTr="7F0E3B2E">
        <w:trPr>
          <w:trHeight w:val="300"/>
        </w:trPr>
        <w:tc>
          <w:tcPr>
            <w:tcW w:w="3078" w:type="dxa"/>
          </w:tcPr>
          <w:p w14:paraId="62266EC0" w14:textId="244DCDB3" w:rsidR="49C26FED" w:rsidRDefault="49C26FED" w:rsidP="7F0E3B2E">
            <w:r>
              <w:t>Personal developmen</w:t>
            </w:r>
            <w:r w:rsidR="47FE2ED6">
              <w:t>t</w:t>
            </w:r>
          </w:p>
          <w:p w14:paraId="43FFA1A3" w14:textId="38931CE3" w:rsidR="49C26FED" w:rsidRDefault="49C26FED" w:rsidP="7F0E3B2E">
            <w:r>
              <w:t xml:space="preserve">% </w:t>
            </w:r>
            <w:r w:rsidR="5D442E74">
              <w:t xml:space="preserve">pupils with </w:t>
            </w:r>
            <w:r>
              <w:t>increase</w:t>
            </w:r>
          </w:p>
        </w:tc>
        <w:tc>
          <w:tcPr>
            <w:tcW w:w="3555" w:type="dxa"/>
            <w:shd w:val="clear" w:color="auto" w:fill="C6D9F1" w:themeFill="text2" w:themeFillTint="33"/>
          </w:tcPr>
          <w:p w14:paraId="67A6DDD3" w14:textId="01CCA98A" w:rsidR="39037EB5" w:rsidRDefault="39037EB5" w:rsidP="7F0E3B2E">
            <w:r>
              <w:t>N/A</w:t>
            </w:r>
          </w:p>
          <w:p w14:paraId="15967D45" w14:textId="14D8B1F6" w:rsidR="39037EB5" w:rsidRDefault="39037EB5" w:rsidP="7F0E3B2E">
            <w:r>
              <w:t>In house scale</w:t>
            </w:r>
          </w:p>
        </w:tc>
        <w:tc>
          <w:tcPr>
            <w:tcW w:w="3960" w:type="dxa"/>
            <w:shd w:val="clear" w:color="auto" w:fill="95B3D7" w:themeFill="accent1" w:themeFillTint="99"/>
          </w:tcPr>
          <w:p w14:paraId="7FE0C3C8" w14:textId="3FCEC771" w:rsidR="1A101A53" w:rsidRDefault="1A101A53" w:rsidP="7F0E3B2E">
            <w:r>
              <w:t>77%</w:t>
            </w:r>
          </w:p>
        </w:tc>
        <w:tc>
          <w:tcPr>
            <w:tcW w:w="4851" w:type="dxa"/>
            <w:shd w:val="clear" w:color="auto" w:fill="C6D9F1" w:themeFill="text2" w:themeFillTint="33"/>
          </w:tcPr>
          <w:p w14:paraId="1EA4C4C0" w14:textId="6D52F51E" w:rsidR="1A101A53" w:rsidRDefault="1A101A53" w:rsidP="7F0E3B2E">
            <w:r>
              <w:t>78%</w:t>
            </w:r>
          </w:p>
        </w:tc>
      </w:tr>
      <w:tr w:rsidR="7F0E3B2E" w14:paraId="29F76C40" w14:textId="77777777" w:rsidTr="7F0E3B2E">
        <w:trPr>
          <w:trHeight w:val="300"/>
        </w:trPr>
        <w:tc>
          <w:tcPr>
            <w:tcW w:w="3078" w:type="dxa"/>
          </w:tcPr>
          <w:p w14:paraId="7FD9107E" w14:textId="60DC2882" w:rsidR="49C26FED" w:rsidRDefault="49C26FED" w:rsidP="7F0E3B2E">
            <w:r>
              <w:t>Behaviour</w:t>
            </w:r>
          </w:p>
        </w:tc>
        <w:tc>
          <w:tcPr>
            <w:tcW w:w="3555" w:type="dxa"/>
            <w:shd w:val="clear" w:color="auto" w:fill="C6D9F1" w:themeFill="text2" w:themeFillTint="33"/>
          </w:tcPr>
          <w:p w14:paraId="1B7D39F6" w14:textId="3A939BAA" w:rsidR="49C26FED" w:rsidRDefault="49C26FED" w:rsidP="7F0E3B2E">
            <w:r>
              <w:t>Permanent exclusions:</w:t>
            </w:r>
            <w:r w:rsidR="456CC612">
              <w:t xml:space="preserve"> </w:t>
            </w:r>
          </w:p>
          <w:p w14:paraId="01D8369F" w14:textId="74EDEB84" w:rsidR="49C26FED" w:rsidRDefault="49C26FED" w:rsidP="7F0E3B2E">
            <w:r>
              <w:t>Fixed term exclusions:</w:t>
            </w:r>
            <w:r w:rsidR="3493AADE">
              <w:t xml:space="preserve"> </w:t>
            </w:r>
          </w:p>
        </w:tc>
        <w:tc>
          <w:tcPr>
            <w:tcW w:w="3960" w:type="dxa"/>
            <w:shd w:val="clear" w:color="auto" w:fill="95B3D7" w:themeFill="accent1" w:themeFillTint="99"/>
          </w:tcPr>
          <w:p w14:paraId="0B5A354E" w14:textId="7594574E" w:rsidR="7F0E3B2E" w:rsidRDefault="7F0E3B2E" w:rsidP="7F0E3B2E">
            <w:r>
              <w:t>Permanent exclusions:</w:t>
            </w:r>
            <w:r w:rsidR="78D8EF63">
              <w:t xml:space="preserve"> 0</w:t>
            </w:r>
          </w:p>
          <w:p w14:paraId="5C4C5604" w14:textId="27932548" w:rsidR="7F0E3B2E" w:rsidRDefault="7F0E3B2E" w:rsidP="7F0E3B2E">
            <w:r>
              <w:t>Fixed term exclusions:</w:t>
            </w:r>
            <w:r w:rsidR="0BFCA642">
              <w:t xml:space="preserve"> </w:t>
            </w:r>
            <w:r w:rsidR="17671C0C">
              <w:t>0</w:t>
            </w:r>
          </w:p>
        </w:tc>
        <w:tc>
          <w:tcPr>
            <w:tcW w:w="4851" w:type="dxa"/>
            <w:shd w:val="clear" w:color="auto" w:fill="C6D9F1" w:themeFill="text2" w:themeFillTint="33"/>
          </w:tcPr>
          <w:p w14:paraId="1920E341" w14:textId="64AF2DF0" w:rsidR="7F0E3B2E" w:rsidRDefault="7F0E3B2E" w:rsidP="7F0E3B2E">
            <w:r>
              <w:t>Permanent exclusions:</w:t>
            </w:r>
            <w:r w:rsidR="2B721E0E">
              <w:t xml:space="preserve"> 0</w:t>
            </w:r>
          </w:p>
          <w:p w14:paraId="07176F37" w14:textId="3B7078A4" w:rsidR="7F0E3B2E" w:rsidRDefault="7F0E3B2E" w:rsidP="7F0E3B2E">
            <w:r>
              <w:t>Fixed term exclusions:</w:t>
            </w:r>
            <w:r w:rsidR="61423BE8">
              <w:t xml:space="preserve"> 0</w:t>
            </w:r>
          </w:p>
        </w:tc>
      </w:tr>
    </w:tbl>
    <w:p w14:paraId="50209463" w14:textId="3B59B2C1" w:rsidR="7F0E3B2E" w:rsidRDefault="7F0E3B2E" w:rsidP="7F0E3B2E">
      <w:pPr>
        <w:rPr>
          <w:rFonts w:eastAsia="Arial" w:cs="Arial"/>
          <w:color w:val="0D0D0D" w:themeColor="text1" w:themeTint="F2"/>
        </w:rPr>
      </w:pPr>
    </w:p>
    <w:p w14:paraId="65089A20" w14:textId="5A406A25" w:rsidR="2A07AE35" w:rsidRDefault="2A07AE35" w:rsidP="7F0E3B2E">
      <w:pPr>
        <w:rPr>
          <w:rFonts w:eastAsia="Arial" w:cs="Arial"/>
          <w:b/>
          <w:bCs/>
          <w:color w:val="4F81BD" w:themeColor="accent1"/>
          <w:sz w:val="32"/>
          <w:szCs w:val="32"/>
        </w:rPr>
      </w:pPr>
      <w:r w:rsidRPr="7F0E3B2E">
        <w:rPr>
          <w:rFonts w:eastAsia="Arial" w:cs="Arial"/>
          <w:b/>
          <w:bCs/>
          <w:color w:val="4F81BD" w:themeColor="accent1"/>
          <w:sz w:val="32"/>
          <w:szCs w:val="32"/>
        </w:rPr>
        <w:t>Review of previous strategy 2022-25</w:t>
      </w:r>
    </w:p>
    <w:p w14:paraId="7AF759A6" w14:textId="2A224A89" w:rsidR="7F0E3B2E" w:rsidRDefault="7F0E3B2E" w:rsidP="7F0E3B2E"/>
    <w:tbl>
      <w:tblPr>
        <w:tblStyle w:val="TableGrid"/>
        <w:tblW w:w="15512" w:type="dxa"/>
        <w:tblLayout w:type="fixed"/>
        <w:tblLook w:val="06A0" w:firstRow="1" w:lastRow="0" w:firstColumn="1" w:lastColumn="0" w:noHBand="1" w:noVBand="1"/>
      </w:tblPr>
      <w:tblGrid>
        <w:gridCol w:w="1440"/>
        <w:gridCol w:w="705"/>
        <w:gridCol w:w="1755"/>
        <w:gridCol w:w="750"/>
        <w:gridCol w:w="1882"/>
        <w:gridCol w:w="4365"/>
        <w:gridCol w:w="4615"/>
      </w:tblGrid>
      <w:tr w:rsidR="6B8734EC" w14:paraId="245C4835" w14:textId="77777777" w:rsidTr="7F0E3B2E">
        <w:trPr>
          <w:trHeight w:val="300"/>
        </w:trPr>
        <w:tc>
          <w:tcPr>
            <w:tcW w:w="1440" w:type="dxa"/>
          </w:tcPr>
          <w:p w14:paraId="35AC3E98" w14:textId="6AF43525" w:rsidR="6B8734EC" w:rsidRDefault="6B8734EC" w:rsidP="45D2CA4F"/>
        </w:tc>
        <w:tc>
          <w:tcPr>
            <w:tcW w:w="2460" w:type="dxa"/>
            <w:gridSpan w:val="2"/>
            <w:shd w:val="clear" w:color="auto" w:fill="8DB3E2" w:themeFill="text2" w:themeFillTint="66"/>
          </w:tcPr>
          <w:p w14:paraId="72A4B762" w14:textId="7109EB14" w:rsidR="4EB89A70" w:rsidRDefault="2909E868" w:rsidP="45D2CA4F">
            <w:pPr>
              <w:rPr>
                <w:b/>
                <w:bCs/>
              </w:rPr>
            </w:pPr>
            <w:r w:rsidRPr="45D2CA4F">
              <w:rPr>
                <w:b/>
                <w:bCs/>
              </w:rPr>
              <w:t>% of pupils on reading intervention (whole school)</w:t>
            </w:r>
          </w:p>
        </w:tc>
        <w:tc>
          <w:tcPr>
            <w:tcW w:w="2632" w:type="dxa"/>
            <w:gridSpan w:val="2"/>
            <w:shd w:val="clear" w:color="auto" w:fill="DBE5F1" w:themeFill="accent1" w:themeFillTint="33"/>
          </w:tcPr>
          <w:p w14:paraId="3277C935" w14:textId="450FF2ED" w:rsidR="4EB89A70" w:rsidRDefault="2909E868" w:rsidP="45D2CA4F">
            <w:pPr>
              <w:rPr>
                <w:b/>
                <w:bCs/>
              </w:rPr>
            </w:pPr>
            <w:r w:rsidRPr="45D2CA4F">
              <w:rPr>
                <w:b/>
                <w:bCs/>
              </w:rPr>
              <w:t>% of pupil premium pupils on reading intervention</w:t>
            </w:r>
          </w:p>
        </w:tc>
        <w:tc>
          <w:tcPr>
            <w:tcW w:w="4365" w:type="dxa"/>
            <w:shd w:val="clear" w:color="auto" w:fill="8DB3E2" w:themeFill="text2" w:themeFillTint="66"/>
          </w:tcPr>
          <w:p w14:paraId="1E72DFF0" w14:textId="3B35CEF6" w:rsidR="4EB89A70" w:rsidRDefault="2909E868" w:rsidP="45D2CA4F">
            <w:pPr>
              <w:rPr>
                <w:b/>
                <w:bCs/>
              </w:rPr>
            </w:pPr>
            <w:r w:rsidRPr="45D2CA4F">
              <w:rPr>
                <w:b/>
                <w:bCs/>
              </w:rPr>
              <w:t>% of pupils on different reading pathways (whole cohort)</w:t>
            </w:r>
          </w:p>
        </w:tc>
        <w:tc>
          <w:tcPr>
            <w:tcW w:w="4615" w:type="dxa"/>
            <w:shd w:val="clear" w:color="auto" w:fill="DBE5F1" w:themeFill="accent1" w:themeFillTint="33"/>
          </w:tcPr>
          <w:p w14:paraId="348A1D7B" w14:textId="1E8C3A34" w:rsidR="4EB89A70" w:rsidRDefault="2909E868" w:rsidP="45D2CA4F">
            <w:pPr>
              <w:rPr>
                <w:b/>
                <w:bCs/>
              </w:rPr>
            </w:pPr>
            <w:r w:rsidRPr="45D2CA4F">
              <w:rPr>
                <w:b/>
                <w:bCs/>
              </w:rPr>
              <w:t>% of pupil premium pupils on different reading pathways</w:t>
            </w:r>
          </w:p>
          <w:p w14:paraId="4DBD5EC3" w14:textId="58684065" w:rsidR="6B8734EC" w:rsidRDefault="6B8734EC" w:rsidP="45D2CA4F">
            <w:pPr>
              <w:rPr>
                <w:b/>
                <w:bCs/>
              </w:rPr>
            </w:pPr>
          </w:p>
        </w:tc>
      </w:tr>
      <w:tr w:rsidR="080C1BA7" w14:paraId="4D5F5080" w14:textId="77777777" w:rsidTr="7F0E3B2E">
        <w:trPr>
          <w:trHeight w:val="300"/>
        </w:trPr>
        <w:tc>
          <w:tcPr>
            <w:tcW w:w="1440" w:type="dxa"/>
          </w:tcPr>
          <w:p w14:paraId="7C1E8F0F" w14:textId="53DCF775" w:rsidR="3654841C" w:rsidRDefault="18654E7C" w:rsidP="45D2CA4F">
            <w:pPr>
              <w:rPr>
                <w:b/>
                <w:bCs/>
              </w:rPr>
            </w:pPr>
            <w:r w:rsidRPr="45D2CA4F">
              <w:rPr>
                <w:b/>
                <w:bCs/>
              </w:rPr>
              <w:t>December 2022</w:t>
            </w:r>
          </w:p>
        </w:tc>
        <w:tc>
          <w:tcPr>
            <w:tcW w:w="2460" w:type="dxa"/>
            <w:gridSpan w:val="2"/>
            <w:shd w:val="clear" w:color="auto" w:fill="8DB3E2" w:themeFill="text2" w:themeFillTint="66"/>
          </w:tcPr>
          <w:p w14:paraId="472E0CC1" w14:textId="3D1CFFCD" w:rsidR="3654841C" w:rsidRDefault="18654E7C" w:rsidP="080C1BA7">
            <w:pPr>
              <w:spacing w:line="240" w:lineRule="auto"/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42%</w:t>
            </w:r>
          </w:p>
        </w:tc>
        <w:tc>
          <w:tcPr>
            <w:tcW w:w="2632" w:type="dxa"/>
            <w:gridSpan w:val="2"/>
            <w:shd w:val="clear" w:color="auto" w:fill="DBE5F1" w:themeFill="accent1" w:themeFillTint="33"/>
          </w:tcPr>
          <w:p w14:paraId="240EC812" w14:textId="5D3FABB4" w:rsidR="3BAAF391" w:rsidRDefault="01F91250" w:rsidP="45D2CA4F">
            <w:pPr>
              <w:spacing w:line="240" w:lineRule="auto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45D2CA4F">
              <w:rPr>
                <w:rFonts w:eastAsia="Arial" w:cs="Arial"/>
                <w:color w:val="000000" w:themeColor="text1"/>
                <w:sz w:val="22"/>
                <w:szCs w:val="22"/>
              </w:rPr>
              <w:t>37%</w:t>
            </w:r>
          </w:p>
        </w:tc>
        <w:tc>
          <w:tcPr>
            <w:tcW w:w="4365" w:type="dxa"/>
            <w:shd w:val="clear" w:color="auto" w:fill="8DB3E2" w:themeFill="text2" w:themeFillTint="66"/>
          </w:tcPr>
          <w:p w14:paraId="2B29EE2B" w14:textId="68E814CE" w:rsidR="3654841C" w:rsidRDefault="18654E7C" w:rsidP="45D2CA4F">
            <w:r w:rsidRPr="45D2CA4F">
              <w:t>Love of Reading: 36%</w:t>
            </w:r>
          </w:p>
          <w:p w14:paraId="1ACFFF1A" w14:textId="615EE004" w:rsidR="3654841C" w:rsidRDefault="18654E7C" w:rsidP="45D2CA4F">
            <w:r w:rsidRPr="45D2CA4F">
              <w:t>Progress in Reading: 18%</w:t>
            </w:r>
          </w:p>
          <w:p w14:paraId="4FAD2FB1" w14:textId="59FA0B9C" w:rsidR="3654841C" w:rsidRDefault="18654E7C" w:rsidP="45D2CA4F">
            <w:r w:rsidRPr="45D2CA4F">
              <w:t>Early Reading/Catch up Quickly: 46%</w:t>
            </w:r>
          </w:p>
        </w:tc>
        <w:tc>
          <w:tcPr>
            <w:tcW w:w="4615" w:type="dxa"/>
            <w:shd w:val="clear" w:color="auto" w:fill="DBE5F1" w:themeFill="accent1" w:themeFillTint="33"/>
          </w:tcPr>
          <w:p w14:paraId="7413D1DF" w14:textId="72BB2645" w:rsidR="3654841C" w:rsidRDefault="18654E7C" w:rsidP="45D2CA4F">
            <w:r w:rsidRPr="45D2CA4F">
              <w:t>Love of Reading:</w:t>
            </w:r>
            <w:r w:rsidR="241EBAC5" w:rsidRPr="45D2CA4F">
              <w:t xml:space="preserve"> 3</w:t>
            </w:r>
            <w:r w:rsidR="21D3C2D6" w:rsidRPr="45D2CA4F">
              <w:t>4</w:t>
            </w:r>
            <w:r w:rsidR="241EBAC5" w:rsidRPr="45D2CA4F">
              <w:t>%</w:t>
            </w:r>
          </w:p>
          <w:p w14:paraId="568F3768" w14:textId="4755A76A" w:rsidR="3654841C" w:rsidRDefault="18654E7C" w:rsidP="45D2CA4F">
            <w:r w:rsidRPr="45D2CA4F">
              <w:t>Progress in Reading:</w:t>
            </w:r>
            <w:r w:rsidR="50652813" w:rsidRPr="45D2CA4F">
              <w:t xml:space="preserve"> </w:t>
            </w:r>
            <w:r w:rsidR="1B14E878" w:rsidRPr="45D2CA4F">
              <w:t>13%</w:t>
            </w:r>
          </w:p>
          <w:p w14:paraId="5CD39132" w14:textId="3ECC6CFF" w:rsidR="3654841C" w:rsidRDefault="18654E7C" w:rsidP="45D2CA4F">
            <w:r w:rsidRPr="45D2CA4F">
              <w:t>Early Reading/Catch up Quickly:</w:t>
            </w:r>
            <w:r w:rsidR="14F74CCF" w:rsidRPr="45D2CA4F">
              <w:t xml:space="preserve"> 53%</w:t>
            </w:r>
          </w:p>
        </w:tc>
      </w:tr>
      <w:tr w:rsidR="6B8734EC" w14:paraId="33D0E970" w14:textId="77777777" w:rsidTr="7F0E3B2E">
        <w:tc>
          <w:tcPr>
            <w:tcW w:w="1440" w:type="dxa"/>
            <w:vMerge w:val="restart"/>
          </w:tcPr>
          <w:p w14:paraId="7CAB95EE" w14:textId="25FAF164" w:rsidR="4EB89A70" w:rsidRDefault="186D0E06" w:rsidP="45D2CA4F">
            <w:pPr>
              <w:rPr>
                <w:b/>
                <w:bCs/>
              </w:rPr>
            </w:pPr>
            <w:r w:rsidRPr="45D2CA4F">
              <w:rPr>
                <w:b/>
                <w:bCs/>
              </w:rPr>
              <w:t>December 2023</w:t>
            </w:r>
            <w:r w:rsidR="7AB50C24" w:rsidRPr="45D2CA4F">
              <w:rPr>
                <w:b/>
                <w:bCs/>
              </w:rPr>
              <w:t xml:space="preserve"> </w:t>
            </w:r>
          </w:p>
          <w:p w14:paraId="70D50D42" w14:textId="2AC34CA1" w:rsidR="4EB89A70" w:rsidRDefault="4EB89A70" w:rsidP="45D2CA4F">
            <w:pPr>
              <w:rPr>
                <w:b/>
                <w:bCs/>
              </w:rPr>
            </w:pPr>
          </w:p>
        </w:tc>
        <w:tc>
          <w:tcPr>
            <w:tcW w:w="705" w:type="dxa"/>
            <w:shd w:val="clear" w:color="auto" w:fill="8DB3E2" w:themeFill="text2" w:themeFillTint="66"/>
          </w:tcPr>
          <w:p w14:paraId="368E5433" w14:textId="6C2B26D3" w:rsidR="6B8734EC" w:rsidRDefault="0778C09F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KS1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0DAFEC0C" w14:textId="4BBC8188" w:rsidR="19C0B0BA" w:rsidRDefault="634737D5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7ED39AB7" w14:textId="6C2B26D3" w:rsidR="080C1BA7" w:rsidRDefault="080C1BA7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KS1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3552C32A" w14:textId="20031FC3" w:rsidR="6F1FD012" w:rsidRDefault="367F447C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n/a</w:t>
            </w:r>
          </w:p>
        </w:tc>
        <w:tc>
          <w:tcPr>
            <w:tcW w:w="4365" w:type="dxa"/>
            <w:vMerge w:val="restart"/>
            <w:shd w:val="clear" w:color="auto" w:fill="8DB3E2" w:themeFill="text2" w:themeFillTint="66"/>
          </w:tcPr>
          <w:p w14:paraId="45350103" w14:textId="30E4425A" w:rsidR="661FBBAF" w:rsidRDefault="43DC30A0" w:rsidP="45D2CA4F">
            <w:r w:rsidRPr="45D2CA4F">
              <w:t>Love of Reading:</w:t>
            </w:r>
            <w:r w:rsidR="6CA91248" w:rsidRPr="45D2CA4F">
              <w:t xml:space="preserve"> 31%</w:t>
            </w:r>
          </w:p>
          <w:p w14:paraId="62A143B5" w14:textId="11FEC014" w:rsidR="661FBBAF" w:rsidRDefault="43DC30A0" w:rsidP="45D2CA4F">
            <w:r w:rsidRPr="45D2CA4F">
              <w:t>Progress in Reading:</w:t>
            </w:r>
            <w:r w:rsidR="0BD8A686" w:rsidRPr="45D2CA4F">
              <w:t xml:space="preserve"> 35%</w:t>
            </w:r>
          </w:p>
          <w:p w14:paraId="5CB0AD1B" w14:textId="7826A4D7" w:rsidR="661FBBAF" w:rsidRDefault="43DC30A0" w:rsidP="45D2CA4F">
            <w:r w:rsidRPr="45D2CA4F">
              <w:t>Early Reading/Catch up Quickly:</w:t>
            </w:r>
            <w:r w:rsidR="6C9CA228" w:rsidRPr="45D2CA4F">
              <w:t xml:space="preserve"> 34%</w:t>
            </w:r>
          </w:p>
          <w:p w14:paraId="312A339B" w14:textId="1C9FDF9E" w:rsidR="661FBBAF" w:rsidRDefault="661FBBAF" w:rsidP="45D2CA4F"/>
        </w:tc>
        <w:tc>
          <w:tcPr>
            <w:tcW w:w="4615" w:type="dxa"/>
            <w:vMerge w:val="restart"/>
            <w:shd w:val="clear" w:color="auto" w:fill="DBE5F1" w:themeFill="accent1" w:themeFillTint="33"/>
          </w:tcPr>
          <w:p w14:paraId="1A394F09" w14:textId="23AB7ABC" w:rsidR="661FBBAF" w:rsidRDefault="43DC30A0" w:rsidP="45D2CA4F">
            <w:r w:rsidRPr="45D2CA4F">
              <w:t>Love of Reading:</w:t>
            </w:r>
            <w:r w:rsidR="4E1ACB30" w:rsidRPr="45D2CA4F">
              <w:t xml:space="preserve"> </w:t>
            </w:r>
            <w:r w:rsidR="279EE1E7" w:rsidRPr="45D2CA4F">
              <w:t>20</w:t>
            </w:r>
            <w:r w:rsidR="6B11517A" w:rsidRPr="45D2CA4F">
              <w:t>%</w:t>
            </w:r>
          </w:p>
          <w:p w14:paraId="3F39D83F" w14:textId="528FB5A9" w:rsidR="661FBBAF" w:rsidRDefault="43DC30A0" w:rsidP="45D2CA4F">
            <w:r w:rsidRPr="45D2CA4F">
              <w:t>Progress in Reading:</w:t>
            </w:r>
            <w:r w:rsidR="18E2DEAF" w:rsidRPr="45D2CA4F">
              <w:t xml:space="preserve"> </w:t>
            </w:r>
            <w:r w:rsidR="33B185D9" w:rsidRPr="45D2CA4F">
              <w:t>38</w:t>
            </w:r>
            <w:r w:rsidR="18E2DEAF" w:rsidRPr="45D2CA4F">
              <w:t>%</w:t>
            </w:r>
          </w:p>
          <w:p w14:paraId="4C6C859A" w14:textId="65B9A6F3" w:rsidR="661FBBAF" w:rsidRDefault="43DC30A0" w:rsidP="45D2CA4F">
            <w:r w:rsidRPr="45D2CA4F">
              <w:t>Early Reading/Catch up Quickly:</w:t>
            </w:r>
            <w:r w:rsidR="51ACA3DD" w:rsidRPr="45D2CA4F">
              <w:t xml:space="preserve"> </w:t>
            </w:r>
            <w:r w:rsidR="0A1B212B" w:rsidRPr="45D2CA4F">
              <w:t>42</w:t>
            </w:r>
            <w:r w:rsidR="51ACA3DD" w:rsidRPr="45D2CA4F">
              <w:t>%</w:t>
            </w:r>
          </w:p>
          <w:p w14:paraId="7EDACC0A" w14:textId="0D5A51D8" w:rsidR="6B8734EC" w:rsidRDefault="6B8734EC" w:rsidP="45D2CA4F"/>
        </w:tc>
      </w:tr>
      <w:tr w:rsidR="080C1BA7" w14:paraId="4FA02DE2" w14:textId="77777777" w:rsidTr="7F0E3B2E">
        <w:trPr>
          <w:trHeight w:val="300"/>
        </w:trPr>
        <w:tc>
          <w:tcPr>
            <w:tcW w:w="1440" w:type="dxa"/>
            <w:vMerge/>
          </w:tcPr>
          <w:p w14:paraId="4A5BB757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4ADCA6C3" w14:textId="6B7012E8" w:rsidR="22F44B0D" w:rsidRDefault="61C25C60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KS2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3B4A4CA1" w14:textId="08F93090" w:rsidR="67DA8A08" w:rsidRDefault="19A11327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5D08FB2C" w14:textId="6B7012E8" w:rsidR="080C1BA7" w:rsidRDefault="080C1BA7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KS2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16574C66" w14:textId="3A67A54A" w:rsidR="442E3DDC" w:rsidRDefault="18CD8217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n/a</w:t>
            </w:r>
          </w:p>
        </w:tc>
        <w:tc>
          <w:tcPr>
            <w:tcW w:w="4365" w:type="dxa"/>
            <w:vMerge/>
          </w:tcPr>
          <w:p w14:paraId="7CBF4632" w14:textId="77777777" w:rsidR="00683487" w:rsidRDefault="00683487"/>
        </w:tc>
        <w:tc>
          <w:tcPr>
            <w:tcW w:w="4615" w:type="dxa"/>
            <w:vMerge/>
          </w:tcPr>
          <w:p w14:paraId="0A9E18B1" w14:textId="77777777" w:rsidR="00683487" w:rsidRDefault="00683487"/>
        </w:tc>
      </w:tr>
      <w:tr w:rsidR="080C1BA7" w14:paraId="64D0E785" w14:textId="77777777" w:rsidTr="7F0E3B2E">
        <w:trPr>
          <w:trHeight w:val="300"/>
        </w:trPr>
        <w:tc>
          <w:tcPr>
            <w:tcW w:w="1440" w:type="dxa"/>
            <w:vMerge/>
          </w:tcPr>
          <w:p w14:paraId="22BD8CC8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1F08B33E" w14:textId="21229AEF" w:rsidR="22F44B0D" w:rsidRDefault="61C25C60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Y7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345BBEBF" w14:textId="040C7C97" w:rsidR="4ECDAE8C" w:rsidRDefault="5B7D3033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44A018C9" w14:textId="21229AEF" w:rsidR="080C1BA7" w:rsidRDefault="080C1BA7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Y7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3F57B277" w14:textId="77DF76EC" w:rsidR="11300BC7" w:rsidRDefault="3C4B5BF7" w:rsidP="080C1BA7">
            <w:pPr>
              <w:rPr>
                <w:sz w:val="22"/>
                <w:szCs w:val="22"/>
              </w:rPr>
            </w:pPr>
            <w:r w:rsidRPr="45D2CA4F">
              <w:rPr>
                <w:sz w:val="22"/>
                <w:szCs w:val="22"/>
              </w:rPr>
              <w:t>n/a</w:t>
            </w:r>
          </w:p>
        </w:tc>
        <w:tc>
          <w:tcPr>
            <w:tcW w:w="4365" w:type="dxa"/>
            <w:vMerge/>
          </w:tcPr>
          <w:p w14:paraId="7F8EFE7E" w14:textId="77777777" w:rsidR="00683487" w:rsidRDefault="00683487"/>
        </w:tc>
        <w:tc>
          <w:tcPr>
            <w:tcW w:w="4615" w:type="dxa"/>
            <w:vMerge/>
          </w:tcPr>
          <w:p w14:paraId="7A15662B" w14:textId="77777777" w:rsidR="00683487" w:rsidRDefault="00683487"/>
        </w:tc>
      </w:tr>
      <w:tr w:rsidR="080C1BA7" w14:paraId="5A3A4EE6" w14:textId="77777777" w:rsidTr="7F0E3B2E">
        <w:trPr>
          <w:trHeight w:val="300"/>
        </w:trPr>
        <w:tc>
          <w:tcPr>
            <w:tcW w:w="1440" w:type="dxa"/>
            <w:vMerge/>
          </w:tcPr>
          <w:p w14:paraId="2A9F3F8D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32A1D2FD" w14:textId="096EE3F2" w:rsidR="22F44B0D" w:rsidRDefault="22F44B0D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Y8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34D17D86" w14:textId="5628B8EF" w:rsidR="2B03BA93" w:rsidRDefault="2B03BA93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50%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64B149F7" w14:textId="096EE3F2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Y8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3BD62E1C" w14:textId="17F1F20A" w:rsidR="778586A4" w:rsidRDefault="778586A4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66%</w:t>
            </w:r>
          </w:p>
        </w:tc>
        <w:tc>
          <w:tcPr>
            <w:tcW w:w="4365" w:type="dxa"/>
            <w:vMerge/>
          </w:tcPr>
          <w:p w14:paraId="56D7FBCE" w14:textId="77777777" w:rsidR="00683487" w:rsidRDefault="00683487"/>
        </w:tc>
        <w:tc>
          <w:tcPr>
            <w:tcW w:w="4615" w:type="dxa"/>
            <w:vMerge/>
          </w:tcPr>
          <w:p w14:paraId="25BE2036" w14:textId="77777777" w:rsidR="00683487" w:rsidRDefault="00683487"/>
        </w:tc>
      </w:tr>
      <w:tr w:rsidR="080C1BA7" w14:paraId="7C3C6E07" w14:textId="77777777" w:rsidTr="7F0E3B2E">
        <w:trPr>
          <w:trHeight w:val="300"/>
        </w:trPr>
        <w:tc>
          <w:tcPr>
            <w:tcW w:w="1440" w:type="dxa"/>
            <w:vMerge/>
          </w:tcPr>
          <w:p w14:paraId="3562D857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58820547" w14:textId="0A5DF83F" w:rsidR="22F44B0D" w:rsidRDefault="22F44B0D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Y9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548A56D9" w14:textId="3A56B6A6" w:rsidR="591395D6" w:rsidRDefault="591395D6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33 %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6000D1AA" w14:textId="0A5DF83F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Y9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59A9007E" w14:textId="5AB62F98" w:rsidR="2720F192" w:rsidRDefault="2720F192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83%</w:t>
            </w:r>
          </w:p>
        </w:tc>
        <w:tc>
          <w:tcPr>
            <w:tcW w:w="4365" w:type="dxa"/>
            <w:vMerge/>
          </w:tcPr>
          <w:p w14:paraId="773FFA92" w14:textId="77777777" w:rsidR="00683487" w:rsidRDefault="00683487"/>
        </w:tc>
        <w:tc>
          <w:tcPr>
            <w:tcW w:w="4615" w:type="dxa"/>
            <w:vMerge/>
          </w:tcPr>
          <w:p w14:paraId="6BB25A2B" w14:textId="77777777" w:rsidR="00683487" w:rsidRDefault="00683487"/>
        </w:tc>
      </w:tr>
      <w:tr w:rsidR="080C1BA7" w14:paraId="5507E4FF" w14:textId="77777777" w:rsidTr="7F0E3B2E">
        <w:trPr>
          <w:trHeight w:val="300"/>
        </w:trPr>
        <w:tc>
          <w:tcPr>
            <w:tcW w:w="1440" w:type="dxa"/>
            <w:vMerge/>
          </w:tcPr>
          <w:p w14:paraId="730DD356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091F5303" w14:textId="3AA1220F" w:rsidR="22F44B0D" w:rsidRDefault="22F44B0D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Y10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44181487" w14:textId="4D7225F5" w:rsidR="30CE92E4" w:rsidRDefault="30CE92E4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55%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6B5E5019" w14:textId="3AA1220F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Y10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6FDE3737" w14:textId="27925A02" w:rsidR="3D824A23" w:rsidRDefault="3D824A23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57%</w:t>
            </w:r>
          </w:p>
        </w:tc>
        <w:tc>
          <w:tcPr>
            <w:tcW w:w="4365" w:type="dxa"/>
            <w:vMerge/>
          </w:tcPr>
          <w:p w14:paraId="58803372" w14:textId="77777777" w:rsidR="00683487" w:rsidRDefault="00683487"/>
        </w:tc>
        <w:tc>
          <w:tcPr>
            <w:tcW w:w="4615" w:type="dxa"/>
            <w:vMerge/>
          </w:tcPr>
          <w:p w14:paraId="6AF3E17D" w14:textId="77777777" w:rsidR="00683487" w:rsidRDefault="00683487"/>
        </w:tc>
      </w:tr>
      <w:tr w:rsidR="080C1BA7" w14:paraId="2AB9C528" w14:textId="77777777" w:rsidTr="7F0E3B2E">
        <w:trPr>
          <w:trHeight w:val="300"/>
        </w:trPr>
        <w:tc>
          <w:tcPr>
            <w:tcW w:w="1440" w:type="dxa"/>
            <w:vMerge/>
          </w:tcPr>
          <w:p w14:paraId="4A521674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1A1D4DD8" w14:textId="298EA274" w:rsidR="22F44B0D" w:rsidRDefault="22F44B0D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Y11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61B8B8E7" w14:textId="5F6B46F8" w:rsidR="512D3AF9" w:rsidRDefault="512D3AF9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50%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2C99E0DD" w14:textId="298EA274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Y11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0370F5E9" w14:textId="221815C9" w:rsidR="537054B7" w:rsidRDefault="537054B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61%</w:t>
            </w:r>
          </w:p>
        </w:tc>
        <w:tc>
          <w:tcPr>
            <w:tcW w:w="4365" w:type="dxa"/>
            <w:vMerge/>
          </w:tcPr>
          <w:p w14:paraId="6E40F20C" w14:textId="77777777" w:rsidR="00683487" w:rsidRDefault="00683487"/>
        </w:tc>
        <w:tc>
          <w:tcPr>
            <w:tcW w:w="4615" w:type="dxa"/>
            <w:vMerge/>
          </w:tcPr>
          <w:p w14:paraId="5A84C896" w14:textId="77777777" w:rsidR="00683487" w:rsidRDefault="00683487"/>
        </w:tc>
      </w:tr>
      <w:tr w:rsidR="080C1BA7" w14:paraId="4B64250D" w14:textId="77777777" w:rsidTr="7F0E3B2E">
        <w:tc>
          <w:tcPr>
            <w:tcW w:w="1440" w:type="dxa"/>
            <w:vMerge w:val="restart"/>
          </w:tcPr>
          <w:p w14:paraId="0352A854" w14:textId="79A8531B" w:rsidR="4A2F97FB" w:rsidRDefault="26AB6614" w:rsidP="45D2CA4F">
            <w:pPr>
              <w:rPr>
                <w:b/>
                <w:bCs/>
              </w:rPr>
            </w:pPr>
            <w:r w:rsidRPr="45D2CA4F">
              <w:rPr>
                <w:b/>
                <w:bCs/>
              </w:rPr>
              <w:t>December 2024</w:t>
            </w:r>
          </w:p>
        </w:tc>
        <w:tc>
          <w:tcPr>
            <w:tcW w:w="705" w:type="dxa"/>
            <w:shd w:val="clear" w:color="auto" w:fill="8DB3E2" w:themeFill="text2" w:themeFillTint="66"/>
          </w:tcPr>
          <w:p w14:paraId="632DCCBF" w14:textId="6C2B26D3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KS1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2C6BD1B6" w14:textId="7F874B30" w:rsidR="36D58A8D" w:rsidRDefault="36D58A8D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611F3ABD" w14:textId="6C2B26D3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KS1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2F15849D" w14:textId="075BD3D5" w:rsidR="2472BA45" w:rsidRDefault="2472BA45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4365" w:type="dxa"/>
            <w:vMerge w:val="restart"/>
            <w:shd w:val="clear" w:color="auto" w:fill="8DB3E2" w:themeFill="text2" w:themeFillTint="66"/>
          </w:tcPr>
          <w:p w14:paraId="7B31815F" w14:textId="54937837" w:rsidR="4A2F97FB" w:rsidRDefault="26AB6614" w:rsidP="45D2CA4F">
            <w:r w:rsidRPr="45D2CA4F">
              <w:t>Love of Reading: 70%</w:t>
            </w:r>
          </w:p>
          <w:p w14:paraId="495CFBAA" w14:textId="12684F55" w:rsidR="4A2F97FB" w:rsidRDefault="26AB6614" w:rsidP="45D2CA4F">
            <w:r w:rsidRPr="45D2CA4F">
              <w:t>Progress in Reading: 16%</w:t>
            </w:r>
          </w:p>
          <w:p w14:paraId="053E0EBB" w14:textId="4A0BC10E" w:rsidR="4A2F97FB" w:rsidRDefault="26AB6614" w:rsidP="45D2CA4F">
            <w:r w:rsidRPr="45D2CA4F">
              <w:lastRenderedPageBreak/>
              <w:t>Early Reading/Catch up Quickly: 14%</w:t>
            </w:r>
          </w:p>
          <w:p w14:paraId="622D2770" w14:textId="7746DC88" w:rsidR="080C1BA7" w:rsidRDefault="080C1BA7" w:rsidP="45D2CA4F"/>
        </w:tc>
        <w:tc>
          <w:tcPr>
            <w:tcW w:w="4615" w:type="dxa"/>
            <w:vMerge w:val="restart"/>
            <w:shd w:val="clear" w:color="auto" w:fill="DBE5F1" w:themeFill="accent1" w:themeFillTint="33"/>
          </w:tcPr>
          <w:p w14:paraId="282A0970" w14:textId="47DDDD78" w:rsidR="4A2F97FB" w:rsidRDefault="26AB6614" w:rsidP="45D2CA4F">
            <w:r w:rsidRPr="45D2CA4F">
              <w:lastRenderedPageBreak/>
              <w:t>Love of Reading:</w:t>
            </w:r>
            <w:r w:rsidR="498A3490" w:rsidRPr="45D2CA4F">
              <w:t xml:space="preserve"> 60</w:t>
            </w:r>
            <w:r w:rsidRPr="45D2CA4F">
              <w:t>%</w:t>
            </w:r>
          </w:p>
          <w:p w14:paraId="1DEF5A9C" w14:textId="3A9404F1" w:rsidR="4A2F97FB" w:rsidRDefault="26AB6614" w:rsidP="45D2CA4F">
            <w:r w:rsidRPr="45D2CA4F">
              <w:t>Progress in Reading:</w:t>
            </w:r>
            <w:r w:rsidR="59AD5F4F" w:rsidRPr="45D2CA4F">
              <w:t xml:space="preserve"> 20</w:t>
            </w:r>
            <w:r w:rsidRPr="45D2CA4F">
              <w:t>%</w:t>
            </w:r>
          </w:p>
          <w:p w14:paraId="5267AB21" w14:textId="3F118F09" w:rsidR="080C1BA7" w:rsidRDefault="4F4525E8" w:rsidP="45D2CA4F">
            <w:r w:rsidRPr="7F0E3B2E">
              <w:lastRenderedPageBreak/>
              <w:t xml:space="preserve">Early Reading/Catch up Quickly: </w:t>
            </w:r>
            <w:r w:rsidR="79CA2BBC" w:rsidRPr="7F0E3B2E">
              <w:t>20</w:t>
            </w:r>
            <w:r w:rsidRPr="7F0E3B2E">
              <w:t>%</w:t>
            </w:r>
          </w:p>
        </w:tc>
      </w:tr>
      <w:tr w:rsidR="080C1BA7" w14:paraId="7162CCC3" w14:textId="77777777" w:rsidTr="7F0E3B2E">
        <w:trPr>
          <w:trHeight w:val="300"/>
        </w:trPr>
        <w:tc>
          <w:tcPr>
            <w:tcW w:w="1440" w:type="dxa"/>
            <w:vMerge/>
          </w:tcPr>
          <w:p w14:paraId="041D7A9F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1DBD4A79" w14:textId="6B7012E8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KS2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6531AB7C" w14:textId="066AF39E" w:rsidR="42CFB7C5" w:rsidRDefault="42CFB7C5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25%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52D63A5F" w14:textId="6B7012E8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KS2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69E64B29" w14:textId="2046BE8F" w:rsidR="7868FA5F" w:rsidRDefault="7868FA5F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4365" w:type="dxa"/>
            <w:vMerge/>
          </w:tcPr>
          <w:p w14:paraId="60F7E462" w14:textId="77777777" w:rsidR="00683487" w:rsidRDefault="00683487"/>
        </w:tc>
        <w:tc>
          <w:tcPr>
            <w:tcW w:w="4615" w:type="dxa"/>
            <w:vMerge/>
          </w:tcPr>
          <w:p w14:paraId="79A0FC88" w14:textId="77777777" w:rsidR="00683487" w:rsidRDefault="00683487"/>
        </w:tc>
      </w:tr>
      <w:tr w:rsidR="080C1BA7" w14:paraId="56599EBE" w14:textId="77777777" w:rsidTr="7F0E3B2E">
        <w:trPr>
          <w:trHeight w:val="300"/>
        </w:trPr>
        <w:tc>
          <w:tcPr>
            <w:tcW w:w="1440" w:type="dxa"/>
            <w:vMerge/>
          </w:tcPr>
          <w:p w14:paraId="14ED615E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438DC44D" w14:textId="21229AEF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Y7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53BCCF47" w14:textId="74039146" w:rsidR="2F322CEA" w:rsidRDefault="2F322CEA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1DC40C02" w14:textId="21229AEF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Y7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79CCB5CD" w14:textId="6275AEFB" w:rsidR="23A1709C" w:rsidRDefault="23A1709C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4365" w:type="dxa"/>
            <w:vMerge/>
          </w:tcPr>
          <w:p w14:paraId="349DCBEA" w14:textId="77777777" w:rsidR="00683487" w:rsidRDefault="00683487"/>
        </w:tc>
        <w:tc>
          <w:tcPr>
            <w:tcW w:w="4615" w:type="dxa"/>
            <w:vMerge/>
          </w:tcPr>
          <w:p w14:paraId="6A58A83E" w14:textId="77777777" w:rsidR="00683487" w:rsidRDefault="00683487"/>
        </w:tc>
      </w:tr>
      <w:tr w:rsidR="080C1BA7" w14:paraId="46930098" w14:textId="77777777" w:rsidTr="7F0E3B2E">
        <w:trPr>
          <w:trHeight w:val="300"/>
        </w:trPr>
        <w:tc>
          <w:tcPr>
            <w:tcW w:w="1440" w:type="dxa"/>
            <w:vMerge/>
          </w:tcPr>
          <w:p w14:paraId="11A92AE8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4B96C238" w14:textId="096EE3F2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Y8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373581D6" w14:textId="56ED06A8" w:rsidR="1A9C0076" w:rsidRDefault="1A9C0076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25%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316F5BC6" w14:textId="096EE3F2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Y8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31B3F95F" w14:textId="4A8D5FD4" w:rsidR="0B53999D" w:rsidRDefault="0B53999D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50%</w:t>
            </w:r>
          </w:p>
        </w:tc>
        <w:tc>
          <w:tcPr>
            <w:tcW w:w="4365" w:type="dxa"/>
            <w:vMerge/>
          </w:tcPr>
          <w:p w14:paraId="398F2397" w14:textId="77777777" w:rsidR="00683487" w:rsidRDefault="00683487"/>
        </w:tc>
        <w:tc>
          <w:tcPr>
            <w:tcW w:w="4615" w:type="dxa"/>
            <w:vMerge/>
          </w:tcPr>
          <w:p w14:paraId="2ABD9312" w14:textId="77777777" w:rsidR="00683487" w:rsidRDefault="00683487"/>
        </w:tc>
      </w:tr>
      <w:tr w:rsidR="080C1BA7" w14:paraId="4E1263EF" w14:textId="77777777" w:rsidTr="7F0E3B2E">
        <w:trPr>
          <w:trHeight w:val="300"/>
        </w:trPr>
        <w:tc>
          <w:tcPr>
            <w:tcW w:w="1440" w:type="dxa"/>
            <w:vMerge/>
          </w:tcPr>
          <w:p w14:paraId="0BE2854E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73F5CA01" w14:textId="0A5DF83F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Y9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45AFE829" w14:textId="477CEDDD" w:rsidR="7926B797" w:rsidRDefault="7926B797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17%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5241F7A2" w14:textId="0A5DF83F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Y9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0E58A238" w14:textId="4436BA55" w:rsidR="630FEC9A" w:rsidRDefault="630FEC9A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33%</w:t>
            </w:r>
          </w:p>
        </w:tc>
        <w:tc>
          <w:tcPr>
            <w:tcW w:w="4365" w:type="dxa"/>
            <w:vMerge/>
          </w:tcPr>
          <w:p w14:paraId="45567F1F" w14:textId="77777777" w:rsidR="00683487" w:rsidRDefault="00683487"/>
        </w:tc>
        <w:tc>
          <w:tcPr>
            <w:tcW w:w="4615" w:type="dxa"/>
            <w:vMerge/>
          </w:tcPr>
          <w:p w14:paraId="4AA288FA" w14:textId="77777777" w:rsidR="00683487" w:rsidRDefault="00683487"/>
        </w:tc>
      </w:tr>
      <w:tr w:rsidR="080C1BA7" w14:paraId="448A63AC" w14:textId="77777777" w:rsidTr="7F0E3B2E">
        <w:trPr>
          <w:trHeight w:val="300"/>
        </w:trPr>
        <w:tc>
          <w:tcPr>
            <w:tcW w:w="1440" w:type="dxa"/>
            <w:vMerge/>
          </w:tcPr>
          <w:p w14:paraId="3FBBCAD9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681A69D9" w14:textId="3AA1220F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Y10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50B56CA8" w14:textId="480C47D6" w:rsidR="0EF97593" w:rsidRDefault="0EF97593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16%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04663A9C" w14:textId="3AA1220F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Y10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779411A1" w14:textId="38EF1DBD" w:rsidR="0002B12E" w:rsidRDefault="0002B12E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4365" w:type="dxa"/>
            <w:vMerge/>
          </w:tcPr>
          <w:p w14:paraId="0D32909F" w14:textId="77777777" w:rsidR="00683487" w:rsidRDefault="00683487"/>
        </w:tc>
        <w:tc>
          <w:tcPr>
            <w:tcW w:w="4615" w:type="dxa"/>
            <w:vMerge/>
          </w:tcPr>
          <w:p w14:paraId="08D42EEA" w14:textId="77777777" w:rsidR="00683487" w:rsidRDefault="00683487"/>
        </w:tc>
      </w:tr>
      <w:tr w:rsidR="080C1BA7" w14:paraId="7DC8E916" w14:textId="77777777" w:rsidTr="7F0E3B2E">
        <w:trPr>
          <w:trHeight w:val="300"/>
        </w:trPr>
        <w:tc>
          <w:tcPr>
            <w:tcW w:w="1440" w:type="dxa"/>
            <w:vMerge/>
          </w:tcPr>
          <w:p w14:paraId="68EFF954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73EAA264" w14:textId="298EA274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Y11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04DB8602" w14:textId="57319711" w:rsidR="079F1ED2" w:rsidRDefault="079F1ED2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23%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214DF8F7" w14:textId="298EA274" w:rsidR="080C1BA7" w:rsidRDefault="080C1BA7" w:rsidP="080C1BA7">
            <w:pPr>
              <w:rPr>
                <w:sz w:val="22"/>
                <w:szCs w:val="22"/>
              </w:rPr>
            </w:pPr>
            <w:r w:rsidRPr="080C1BA7">
              <w:rPr>
                <w:sz w:val="22"/>
                <w:szCs w:val="22"/>
              </w:rPr>
              <w:t>Y11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5FE172AE" w14:textId="7BAD32AF" w:rsidR="0DFBE766" w:rsidRDefault="0DFBE766" w:rsidP="080C1BA7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80C1BA7">
              <w:rPr>
                <w:rFonts w:eastAsia="Arial" w:cs="Arial"/>
                <w:color w:val="000000" w:themeColor="text1"/>
                <w:sz w:val="22"/>
                <w:szCs w:val="22"/>
              </w:rPr>
              <w:t>21%</w:t>
            </w:r>
          </w:p>
        </w:tc>
        <w:tc>
          <w:tcPr>
            <w:tcW w:w="4365" w:type="dxa"/>
            <w:vMerge/>
          </w:tcPr>
          <w:p w14:paraId="04AE0A63" w14:textId="77777777" w:rsidR="00683487" w:rsidRDefault="00683487"/>
        </w:tc>
        <w:tc>
          <w:tcPr>
            <w:tcW w:w="4615" w:type="dxa"/>
            <w:vMerge/>
          </w:tcPr>
          <w:p w14:paraId="129B7D4F" w14:textId="77777777" w:rsidR="00683487" w:rsidRDefault="00683487"/>
        </w:tc>
      </w:tr>
      <w:tr w:rsidR="7F0E3B2E" w14:paraId="7B5C16E2" w14:textId="77777777" w:rsidTr="7F0E3B2E">
        <w:trPr>
          <w:trHeight w:val="300"/>
        </w:trPr>
        <w:tc>
          <w:tcPr>
            <w:tcW w:w="1440" w:type="dxa"/>
            <w:vMerge w:val="restart"/>
          </w:tcPr>
          <w:p w14:paraId="781308C5" w14:textId="49CDBF43" w:rsidR="3B3F57B7" w:rsidRDefault="3B3F57B7" w:rsidP="7F0E3B2E">
            <w:pPr>
              <w:rPr>
                <w:b/>
                <w:bCs/>
              </w:rPr>
            </w:pPr>
            <w:r w:rsidRPr="7F0E3B2E">
              <w:rPr>
                <w:b/>
                <w:bCs/>
              </w:rPr>
              <w:t>July</w:t>
            </w:r>
            <w:r w:rsidR="7F0E3B2E" w:rsidRPr="7F0E3B2E">
              <w:rPr>
                <w:b/>
                <w:bCs/>
              </w:rPr>
              <w:t xml:space="preserve"> 202</w:t>
            </w:r>
            <w:r w:rsidR="0670B1C6" w:rsidRPr="7F0E3B2E">
              <w:rPr>
                <w:b/>
                <w:bCs/>
              </w:rPr>
              <w:t>5</w:t>
            </w:r>
          </w:p>
        </w:tc>
        <w:tc>
          <w:tcPr>
            <w:tcW w:w="705" w:type="dxa"/>
            <w:shd w:val="clear" w:color="auto" w:fill="8DB3E2" w:themeFill="text2" w:themeFillTint="66"/>
          </w:tcPr>
          <w:p w14:paraId="78224D79" w14:textId="6C2B26D3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KS1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342FBAE8" w14:textId="6ABE3232" w:rsidR="3D272160" w:rsidRDefault="3D272160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3794233C" w14:textId="6C2B26D3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KS1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28E47A2A" w14:textId="6E5F8777" w:rsidR="110FAF64" w:rsidRDefault="110FAF64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4365" w:type="dxa"/>
            <w:vMerge w:val="restart"/>
            <w:shd w:val="clear" w:color="auto" w:fill="8DB3E2" w:themeFill="text2" w:themeFillTint="66"/>
          </w:tcPr>
          <w:p w14:paraId="4344B3AE" w14:textId="67255340" w:rsidR="7F0E3B2E" w:rsidRDefault="7F0E3B2E" w:rsidP="7F0E3B2E">
            <w:r w:rsidRPr="7F0E3B2E">
              <w:t>Love of Reading: 74%</w:t>
            </w:r>
          </w:p>
          <w:p w14:paraId="36FF4415" w14:textId="364D5937" w:rsidR="7F0E3B2E" w:rsidRDefault="7F0E3B2E" w:rsidP="7F0E3B2E">
            <w:r w:rsidRPr="7F0E3B2E">
              <w:t>Progress in Reading: 11%</w:t>
            </w:r>
          </w:p>
          <w:p w14:paraId="7B333619" w14:textId="3143FB5B" w:rsidR="7F0E3B2E" w:rsidRDefault="7F0E3B2E" w:rsidP="7F0E3B2E">
            <w:r w:rsidRPr="7F0E3B2E">
              <w:t>Early Reading/Catch up Quickly: 15%</w:t>
            </w:r>
          </w:p>
          <w:p w14:paraId="3A16B1F9" w14:textId="7746DC88" w:rsidR="7F0E3B2E" w:rsidRDefault="7F0E3B2E" w:rsidP="7F0E3B2E"/>
        </w:tc>
        <w:tc>
          <w:tcPr>
            <w:tcW w:w="4615" w:type="dxa"/>
            <w:vMerge w:val="restart"/>
            <w:shd w:val="clear" w:color="auto" w:fill="DBE5F1" w:themeFill="accent1" w:themeFillTint="33"/>
          </w:tcPr>
          <w:p w14:paraId="1B9F8260" w14:textId="21065475" w:rsidR="7F0E3B2E" w:rsidRDefault="7F0E3B2E" w:rsidP="7F0E3B2E">
            <w:r w:rsidRPr="7F0E3B2E">
              <w:t>Love of Reading: 65%</w:t>
            </w:r>
          </w:p>
          <w:p w14:paraId="59E8990F" w14:textId="3B0889A1" w:rsidR="7F0E3B2E" w:rsidRDefault="7F0E3B2E" w:rsidP="7F0E3B2E">
            <w:r w:rsidRPr="7F0E3B2E">
              <w:t>Progress in Reading: 12%</w:t>
            </w:r>
          </w:p>
          <w:p w14:paraId="6919A5E8" w14:textId="0EDFC108" w:rsidR="7F0E3B2E" w:rsidRDefault="7F0E3B2E" w:rsidP="7F0E3B2E">
            <w:r w:rsidRPr="7F0E3B2E">
              <w:t>Early Reading/Catch up Quickly: 23%</w:t>
            </w:r>
          </w:p>
        </w:tc>
      </w:tr>
      <w:tr w:rsidR="7F0E3B2E" w14:paraId="7B738F54" w14:textId="77777777" w:rsidTr="7F0E3B2E">
        <w:trPr>
          <w:trHeight w:val="300"/>
        </w:trPr>
        <w:tc>
          <w:tcPr>
            <w:tcW w:w="1440" w:type="dxa"/>
            <w:vMerge/>
          </w:tcPr>
          <w:p w14:paraId="53034FCE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06E80CF5" w14:textId="6B7012E8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KS2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4096AAB2" w14:textId="7550DE4E" w:rsidR="025CBAC1" w:rsidRDefault="025CBAC1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4FFBE074" w14:textId="6B7012E8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KS2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4CEA56F7" w14:textId="4413E0CD" w:rsidR="66C2A52F" w:rsidRDefault="66C2A52F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4365" w:type="dxa"/>
            <w:vMerge/>
            <w:shd w:val="clear" w:color="auto" w:fill="8DB3E2" w:themeFill="text2" w:themeFillTint="66"/>
          </w:tcPr>
          <w:p w14:paraId="7D92FAE9" w14:textId="77777777" w:rsidR="00683487" w:rsidRDefault="00683487"/>
        </w:tc>
        <w:tc>
          <w:tcPr>
            <w:tcW w:w="4615" w:type="dxa"/>
            <w:vMerge/>
            <w:shd w:val="clear" w:color="auto" w:fill="DBE5F1" w:themeFill="accent1" w:themeFillTint="33"/>
          </w:tcPr>
          <w:p w14:paraId="6F859011" w14:textId="77777777" w:rsidR="00683487" w:rsidRDefault="00683487"/>
        </w:tc>
      </w:tr>
      <w:tr w:rsidR="7F0E3B2E" w14:paraId="65C689C6" w14:textId="77777777" w:rsidTr="7F0E3B2E">
        <w:trPr>
          <w:trHeight w:val="300"/>
        </w:trPr>
        <w:tc>
          <w:tcPr>
            <w:tcW w:w="1440" w:type="dxa"/>
            <w:vMerge/>
          </w:tcPr>
          <w:p w14:paraId="2F824F8E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154A0A49" w14:textId="21229AEF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Y7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2A691435" w14:textId="1705BCCE" w:rsidR="1303CA1A" w:rsidRDefault="1303CA1A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49FB2513" w14:textId="21229AEF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Y7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08649E9F" w14:textId="20FA1F71" w:rsidR="1C77C70C" w:rsidRDefault="1C77C70C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4365" w:type="dxa"/>
            <w:vMerge/>
            <w:shd w:val="clear" w:color="auto" w:fill="8DB3E2" w:themeFill="text2" w:themeFillTint="66"/>
          </w:tcPr>
          <w:p w14:paraId="453364C3" w14:textId="77777777" w:rsidR="00683487" w:rsidRDefault="00683487"/>
        </w:tc>
        <w:tc>
          <w:tcPr>
            <w:tcW w:w="4615" w:type="dxa"/>
            <w:vMerge/>
            <w:shd w:val="clear" w:color="auto" w:fill="DBE5F1" w:themeFill="accent1" w:themeFillTint="33"/>
          </w:tcPr>
          <w:p w14:paraId="0F736F26" w14:textId="77777777" w:rsidR="00683487" w:rsidRDefault="00683487"/>
        </w:tc>
      </w:tr>
      <w:tr w:rsidR="7F0E3B2E" w14:paraId="34FD23FB" w14:textId="77777777" w:rsidTr="7F0E3B2E">
        <w:trPr>
          <w:trHeight w:val="300"/>
        </w:trPr>
        <w:tc>
          <w:tcPr>
            <w:tcW w:w="1440" w:type="dxa"/>
            <w:vMerge/>
          </w:tcPr>
          <w:p w14:paraId="78DF3F48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0CEBFCA4" w14:textId="096EE3F2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Y8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572A19B0" w14:textId="7BE7EDB8" w:rsidR="227B09B8" w:rsidRDefault="227B09B8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33%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56D3C8D9" w14:textId="096EE3F2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Y8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0B9D35F9" w14:textId="0CE5AC96" w:rsidR="5762C2C1" w:rsidRDefault="5762C2C1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50%</w:t>
            </w:r>
          </w:p>
        </w:tc>
        <w:tc>
          <w:tcPr>
            <w:tcW w:w="4365" w:type="dxa"/>
            <w:vMerge/>
            <w:shd w:val="clear" w:color="auto" w:fill="8DB3E2" w:themeFill="text2" w:themeFillTint="66"/>
          </w:tcPr>
          <w:p w14:paraId="6A7FEB50" w14:textId="77777777" w:rsidR="00683487" w:rsidRDefault="00683487"/>
        </w:tc>
        <w:tc>
          <w:tcPr>
            <w:tcW w:w="4615" w:type="dxa"/>
            <w:vMerge/>
            <w:shd w:val="clear" w:color="auto" w:fill="DBE5F1" w:themeFill="accent1" w:themeFillTint="33"/>
          </w:tcPr>
          <w:p w14:paraId="601C76FC" w14:textId="77777777" w:rsidR="00683487" w:rsidRDefault="00683487"/>
        </w:tc>
      </w:tr>
      <w:tr w:rsidR="7F0E3B2E" w14:paraId="320F5658" w14:textId="77777777" w:rsidTr="7F0E3B2E">
        <w:trPr>
          <w:trHeight w:val="300"/>
        </w:trPr>
        <w:tc>
          <w:tcPr>
            <w:tcW w:w="1440" w:type="dxa"/>
            <w:vMerge/>
          </w:tcPr>
          <w:p w14:paraId="73998AA9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76173867" w14:textId="0A5DF83F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Y9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2B8D2A3E" w14:textId="1A9CCF90" w:rsidR="278E84D9" w:rsidRDefault="278E84D9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27%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62B3ECC0" w14:textId="0A5DF83F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Y9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05646E8C" w14:textId="4375643B" w:rsidR="5887821D" w:rsidRDefault="5887821D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4365" w:type="dxa"/>
            <w:vMerge/>
            <w:shd w:val="clear" w:color="auto" w:fill="8DB3E2" w:themeFill="text2" w:themeFillTint="66"/>
          </w:tcPr>
          <w:p w14:paraId="20F36259" w14:textId="77777777" w:rsidR="00683487" w:rsidRDefault="00683487"/>
        </w:tc>
        <w:tc>
          <w:tcPr>
            <w:tcW w:w="4615" w:type="dxa"/>
            <w:vMerge/>
            <w:shd w:val="clear" w:color="auto" w:fill="DBE5F1" w:themeFill="accent1" w:themeFillTint="33"/>
          </w:tcPr>
          <w:p w14:paraId="39DFD1EF" w14:textId="77777777" w:rsidR="00683487" w:rsidRDefault="00683487"/>
        </w:tc>
      </w:tr>
      <w:tr w:rsidR="7F0E3B2E" w14:paraId="7B8D1CA2" w14:textId="77777777" w:rsidTr="7F0E3B2E">
        <w:trPr>
          <w:trHeight w:val="300"/>
        </w:trPr>
        <w:tc>
          <w:tcPr>
            <w:tcW w:w="1440" w:type="dxa"/>
            <w:vMerge/>
          </w:tcPr>
          <w:p w14:paraId="7E1A4B7A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091DA7C4" w14:textId="3AA1220F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Y10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7F2B3B95" w14:textId="6D36F743" w:rsidR="0FE0C98A" w:rsidRDefault="0FE0C98A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25%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0BBDDEC6" w14:textId="3AA1220F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Y10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3E712569" w14:textId="2B4D8B6D" w:rsidR="151A0894" w:rsidRDefault="151A0894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29%</w:t>
            </w:r>
          </w:p>
        </w:tc>
        <w:tc>
          <w:tcPr>
            <w:tcW w:w="4365" w:type="dxa"/>
            <w:vMerge/>
            <w:shd w:val="clear" w:color="auto" w:fill="8DB3E2" w:themeFill="text2" w:themeFillTint="66"/>
          </w:tcPr>
          <w:p w14:paraId="06ADF195" w14:textId="77777777" w:rsidR="00683487" w:rsidRDefault="00683487"/>
        </w:tc>
        <w:tc>
          <w:tcPr>
            <w:tcW w:w="4615" w:type="dxa"/>
            <w:vMerge/>
            <w:shd w:val="clear" w:color="auto" w:fill="DBE5F1" w:themeFill="accent1" w:themeFillTint="33"/>
          </w:tcPr>
          <w:p w14:paraId="05A0F2BD" w14:textId="77777777" w:rsidR="00683487" w:rsidRDefault="00683487"/>
        </w:tc>
      </w:tr>
      <w:tr w:rsidR="7F0E3B2E" w14:paraId="627066F0" w14:textId="77777777" w:rsidTr="7F0E3B2E">
        <w:trPr>
          <w:trHeight w:val="300"/>
        </w:trPr>
        <w:tc>
          <w:tcPr>
            <w:tcW w:w="1440" w:type="dxa"/>
            <w:vMerge/>
          </w:tcPr>
          <w:p w14:paraId="6669C6AA" w14:textId="77777777" w:rsidR="00683487" w:rsidRDefault="00683487"/>
        </w:tc>
        <w:tc>
          <w:tcPr>
            <w:tcW w:w="705" w:type="dxa"/>
            <w:shd w:val="clear" w:color="auto" w:fill="8DB3E2" w:themeFill="text2" w:themeFillTint="66"/>
          </w:tcPr>
          <w:p w14:paraId="1B0C3730" w14:textId="298EA274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Y11</w:t>
            </w:r>
          </w:p>
        </w:tc>
        <w:tc>
          <w:tcPr>
            <w:tcW w:w="1755" w:type="dxa"/>
            <w:shd w:val="clear" w:color="auto" w:fill="8DB3E2" w:themeFill="text2" w:themeFillTint="66"/>
          </w:tcPr>
          <w:p w14:paraId="79C934DA" w14:textId="474AFCC0" w:rsidR="2195AD73" w:rsidRDefault="2195AD73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26%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14:paraId="2B7D3C17" w14:textId="298EA274" w:rsidR="7F0E3B2E" w:rsidRDefault="7F0E3B2E" w:rsidP="7F0E3B2E">
            <w:pPr>
              <w:rPr>
                <w:sz w:val="22"/>
                <w:szCs w:val="22"/>
              </w:rPr>
            </w:pPr>
            <w:r w:rsidRPr="7F0E3B2E">
              <w:rPr>
                <w:sz w:val="22"/>
                <w:szCs w:val="22"/>
              </w:rPr>
              <w:t>Y11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7CC3C855" w14:textId="4C1E578B" w:rsidR="60CB55C6" w:rsidRDefault="60CB55C6" w:rsidP="7F0E3B2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F0E3B2E">
              <w:rPr>
                <w:rFonts w:eastAsia="Arial" w:cs="Arial"/>
                <w:color w:val="000000" w:themeColor="text1"/>
                <w:sz w:val="22"/>
                <w:szCs w:val="22"/>
              </w:rPr>
              <w:t>42%</w:t>
            </w:r>
          </w:p>
        </w:tc>
        <w:tc>
          <w:tcPr>
            <w:tcW w:w="4365" w:type="dxa"/>
            <w:vMerge/>
            <w:shd w:val="clear" w:color="auto" w:fill="8DB3E2" w:themeFill="text2" w:themeFillTint="66"/>
          </w:tcPr>
          <w:p w14:paraId="5EFEC0E7" w14:textId="77777777" w:rsidR="00683487" w:rsidRDefault="00683487"/>
        </w:tc>
        <w:tc>
          <w:tcPr>
            <w:tcW w:w="4615" w:type="dxa"/>
            <w:vMerge/>
            <w:shd w:val="clear" w:color="auto" w:fill="DBE5F1" w:themeFill="accent1" w:themeFillTint="33"/>
          </w:tcPr>
          <w:p w14:paraId="54FC01FB" w14:textId="77777777" w:rsidR="00683487" w:rsidRDefault="00683487"/>
        </w:tc>
      </w:tr>
    </w:tbl>
    <w:p w14:paraId="033815BC" w14:textId="3DE8E200" w:rsidR="6B8734EC" w:rsidRDefault="6B8734EC"/>
    <w:sectPr w:rsidR="6B8734EC">
      <w:headerReference w:type="default" r:id="rId24"/>
      <w:footerReference w:type="default" r:id="rId25"/>
      <w:pgSz w:w="16838" w:h="11906" w:orient="landscape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643F" w14:textId="77777777" w:rsidR="00A91B95" w:rsidRDefault="00A91B95">
      <w:pPr>
        <w:spacing w:after="0" w:line="240" w:lineRule="auto"/>
      </w:pPr>
      <w:r>
        <w:separator/>
      </w:r>
    </w:p>
  </w:endnote>
  <w:endnote w:type="continuationSeparator" w:id="0">
    <w:p w14:paraId="7896536A" w14:textId="77777777" w:rsidR="00A91B95" w:rsidRDefault="00A91B95">
      <w:pPr>
        <w:spacing w:after="0" w:line="240" w:lineRule="auto"/>
      </w:pPr>
      <w:r>
        <w:continuationSeparator/>
      </w:r>
    </w:p>
  </w:endnote>
  <w:endnote w:type="continuationNotice" w:id="1">
    <w:p w14:paraId="55D66D8C" w14:textId="77777777" w:rsidR="00A91B95" w:rsidRDefault="00A91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F261" w14:textId="77777777" w:rsidR="00A91B95" w:rsidRDefault="00A91B95">
      <w:pPr>
        <w:spacing w:after="0" w:line="240" w:lineRule="auto"/>
      </w:pPr>
      <w:r>
        <w:separator/>
      </w:r>
    </w:p>
  </w:footnote>
  <w:footnote w:type="continuationSeparator" w:id="0">
    <w:p w14:paraId="764F791F" w14:textId="77777777" w:rsidR="00A91B95" w:rsidRDefault="00A91B95">
      <w:pPr>
        <w:spacing w:after="0" w:line="240" w:lineRule="auto"/>
      </w:pPr>
      <w:r>
        <w:continuationSeparator/>
      </w:r>
    </w:p>
  </w:footnote>
  <w:footnote w:type="continuationNotice" w:id="1">
    <w:p w14:paraId="66E3176C" w14:textId="77777777" w:rsidR="00A91B95" w:rsidRDefault="00A91B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184DB72A" w:rsidR="00C373EA" w:rsidRDefault="7F0E3B2E" w:rsidP="7F0E3B2E">
    <w:pPr>
      <w:pStyle w:val="Header"/>
      <w:jc w:val="center"/>
    </w:pPr>
    <w:r>
      <w:rPr>
        <w:noProof/>
      </w:rPr>
      <w:drawing>
        <wp:inline distT="0" distB="0" distL="0" distR="0" wp14:anchorId="408C5342" wp14:editId="1BE9CE03">
          <wp:extent cx="1781175" cy="838200"/>
          <wp:effectExtent l="0" t="0" r="0" b="0"/>
          <wp:docPr id="119669350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693507" name="Picture 11966935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4DA6"/>
    <w:multiLevelType w:val="hybridMultilevel"/>
    <w:tmpl w:val="7C82EF74"/>
    <w:lvl w:ilvl="0" w:tplc="C61CC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4C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4F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87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22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E1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CF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A6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C9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B60882"/>
    <w:multiLevelType w:val="multilevel"/>
    <w:tmpl w:val="448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27F7C"/>
    <w:multiLevelType w:val="hybridMultilevel"/>
    <w:tmpl w:val="60C84532"/>
    <w:lvl w:ilvl="0" w:tplc="23C0C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6E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AE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8B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CA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81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0B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80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6A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81F8664"/>
    <w:multiLevelType w:val="hybridMultilevel"/>
    <w:tmpl w:val="11C05986"/>
    <w:lvl w:ilvl="0" w:tplc="FE267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C1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29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0D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0A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A8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E2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A5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6D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5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437B62F"/>
    <w:multiLevelType w:val="hybridMultilevel"/>
    <w:tmpl w:val="1898F9C2"/>
    <w:lvl w:ilvl="0" w:tplc="38069BB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33E406B2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23A27E46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C91A67D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42703FC6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1932E246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42BA4E3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841E19F4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FCFC0620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11804373">
    <w:abstractNumId w:val="11"/>
  </w:num>
  <w:num w:numId="2" w16cid:durableId="1020428047">
    <w:abstractNumId w:val="16"/>
  </w:num>
  <w:num w:numId="3" w16cid:durableId="314724606">
    <w:abstractNumId w:val="0"/>
  </w:num>
  <w:num w:numId="4" w16cid:durableId="551699733">
    <w:abstractNumId w:val="8"/>
  </w:num>
  <w:num w:numId="5" w16cid:durableId="407307823">
    <w:abstractNumId w:val="4"/>
  </w:num>
  <w:num w:numId="6" w16cid:durableId="972171217">
    <w:abstractNumId w:val="2"/>
  </w:num>
  <w:num w:numId="7" w16cid:durableId="417017114">
    <w:abstractNumId w:val="5"/>
  </w:num>
  <w:num w:numId="8" w16cid:durableId="1673876141">
    <w:abstractNumId w:val="6"/>
  </w:num>
  <w:num w:numId="9" w16cid:durableId="1381595019">
    <w:abstractNumId w:val="1"/>
  </w:num>
  <w:num w:numId="10" w16cid:durableId="888538386">
    <w:abstractNumId w:val="9"/>
  </w:num>
  <w:num w:numId="11" w16cid:durableId="1381247876">
    <w:abstractNumId w:val="12"/>
  </w:num>
  <w:num w:numId="12" w16cid:durableId="1431588816">
    <w:abstractNumId w:val="17"/>
  </w:num>
  <w:num w:numId="13" w16cid:durableId="960115862">
    <w:abstractNumId w:val="14"/>
  </w:num>
  <w:num w:numId="14" w16cid:durableId="185682465">
    <w:abstractNumId w:val="13"/>
  </w:num>
  <w:num w:numId="15" w16cid:durableId="1844121916">
    <w:abstractNumId w:val="3"/>
  </w:num>
  <w:num w:numId="16" w16cid:durableId="334185078">
    <w:abstractNumId w:val="15"/>
  </w:num>
  <w:num w:numId="17" w16cid:durableId="2075812129">
    <w:abstractNumId w:val="10"/>
  </w:num>
  <w:num w:numId="18" w16cid:durableId="537088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8"/>
    <w:rsid w:val="00003A45"/>
    <w:rsid w:val="00023729"/>
    <w:rsid w:val="000243B4"/>
    <w:rsid w:val="0002B12E"/>
    <w:rsid w:val="000452EB"/>
    <w:rsid w:val="000463AE"/>
    <w:rsid w:val="000507A3"/>
    <w:rsid w:val="00060A62"/>
    <w:rsid w:val="00064366"/>
    <w:rsid w:val="00065638"/>
    <w:rsid w:val="00066B73"/>
    <w:rsid w:val="00071481"/>
    <w:rsid w:val="00073980"/>
    <w:rsid w:val="00075FAE"/>
    <w:rsid w:val="00082F38"/>
    <w:rsid w:val="0008384B"/>
    <w:rsid w:val="000929EC"/>
    <w:rsid w:val="00093CDE"/>
    <w:rsid w:val="000A6379"/>
    <w:rsid w:val="000D22B0"/>
    <w:rsid w:val="000D35C9"/>
    <w:rsid w:val="000D520C"/>
    <w:rsid w:val="000D6596"/>
    <w:rsid w:val="000E6DF0"/>
    <w:rsid w:val="001037CB"/>
    <w:rsid w:val="0010629E"/>
    <w:rsid w:val="0011440D"/>
    <w:rsid w:val="00115538"/>
    <w:rsid w:val="00120AB1"/>
    <w:rsid w:val="00123A7F"/>
    <w:rsid w:val="001278D0"/>
    <w:rsid w:val="00127F72"/>
    <w:rsid w:val="00140646"/>
    <w:rsid w:val="00147A4B"/>
    <w:rsid w:val="001671ED"/>
    <w:rsid w:val="001727FA"/>
    <w:rsid w:val="00173D4C"/>
    <w:rsid w:val="00183218"/>
    <w:rsid w:val="00185988"/>
    <w:rsid w:val="001873B6"/>
    <w:rsid w:val="001901E6"/>
    <w:rsid w:val="00191305"/>
    <w:rsid w:val="00195B55"/>
    <w:rsid w:val="001A1EA9"/>
    <w:rsid w:val="001A2FE8"/>
    <w:rsid w:val="001A33AC"/>
    <w:rsid w:val="001C1C51"/>
    <w:rsid w:val="001E0ECA"/>
    <w:rsid w:val="001E206F"/>
    <w:rsid w:val="001E5750"/>
    <w:rsid w:val="001E7739"/>
    <w:rsid w:val="001F3DB4"/>
    <w:rsid w:val="00204F40"/>
    <w:rsid w:val="00205DEF"/>
    <w:rsid w:val="00216C8A"/>
    <w:rsid w:val="00226317"/>
    <w:rsid w:val="00231539"/>
    <w:rsid w:val="002523E3"/>
    <w:rsid w:val="00266FA5"/>
    <w:rsid w:val="00271EC6"/>
    <w:rsid w:val="002913B9"/>
    <w:rsid w:val="002920F4"/>
    <w:rsid w:val="002940F3"/>
    <w:rsid w:val="00295842"/>
    <w:rsid w:val="002B3574"/>
    <w:rsid w:val="002B6B74"/>
    <w:rsid w:val="002C6AE7"/>
    <w:rsid w:val="002D2D4B"/>
    <w:rsid w:val="002D3805"/>
    <w:rsid w:val="002E0E6D"/>
    <w:rsid w:val="002E66AE"/>
    <w:rsid w:val="002E676F"/>
    <w:rsid w:val="002E7763"/>
    <w:rsid w:val="002F5842"/>
    <w:rsid w:val="002F7979"/>
    <w:rsid w:val="00306CB7"/>
    <w:rsid w:val="003111F5"/>
    <w:rsid w:val="00312D0D"/>
    <w:rsid w:val="00336200"/>
    <w:rsid w:val="00337418"/>
    <w:rsid w:val="0033787C"/>
    <w:rsid w:val="00351D83"/>
    <w:rsid w:val="00353E46"/>
    <w:rsid w:val="003576C4"/>
    <w:rsid w:val="00366AB0"/>
    <w:rsid w:val="0037437C"/>
    <w:rsid w:val="0038146B"/>
    <w:rsid w:val="0038340F"/>
    <w:rsid w:val="00384457"/>
    <w:rsid w:val="00384F24"/>
    <w:rsid w:val="003A32B2"/>
    <w:rsid w:val="003A47DD"/>
    <w:rsid w:val="003A634F"/>
    <w:rsid w:val="003B588A"/>
    <w:rsid w:val="003B621D"/>
    <w:rsid w:val="003C4388"/>
    <w:rsid w:val="003C4C27"/>
    <w:rsid w:val="003C63CF"/>
    <w:rsid w:val="003C7F7B"/>
    <w:rsid w:val="003D2EAA"/>
    <w:rsid w:val="003E054C"/>
    <w:rsid w:val="003E27A0"/>
    <w:rsid w:val="003E3872"/>
    <w:rsid w:val="004004E3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5A89"/>
    <w:rsid w:val="00452267"/>
    <w:rsid w:val="00453307"/>
    <w:rsid w:val="00457E36"/>
    <w:rsid w:val="00462F8F"/>
    <w:rsid w:val="004637E1"/>
    <w:rsid w:val="00481D56"/>
    <w:rsid w:val="00490408"/>
    <w:rsid w:val="004A4C45"/>
    <w:rsid w:val="004B0485"/>
    <w:rsid w:val="004B428E"/>
    <w:rsid w:val="004B4D37"/>
    <w:rsid w:val="004C42F0"/>
    <w:rsid w:val="004E1D73"/>
    <w:rsid w:val="0051286E"/>
    <w:rsid w:val="00516021"/>
    <w:rsid w:val="00516457"/>
    <w:rsid w:val="00520A0C"/>
    <w:rsid w:val="00530E37"/>
    <w:rsid w:val="00540D31"/>
    <w:rsid w:val="005464A1"/>
    <w:rsid w:val="00546F12"/>
    <w:rsid w:val="0055339C"/>
    <w:rsid w:val="00562B3C"/>
    <w:rsid w:val="00564E40"/>
    <w:rsid w:val="005750E2"/>
    <w:rsid w:val="0058313F"/>
    <w:rsid w:val="00585859"/>
    <w:rsid w:val="00586FBC"/>
    <w:rsid w:val="005879C9"/>
    <w:rsid w:val="005915BD"/>
    <w:rsid w:val="005A3C6B"/>
    <w:rsid w:val="005B1EA5"/>
    <w:rsid w:val="005D7176"/>
    <w:rsid w:val="005E1F24"/>
    <w:rsid w:val="005E73F1"/>
    <w:rsid w:val="005F07EF"/>
    <w:rsid w:val="00600B2E"/>
    <w:rsid w:val="00607CEB"/>
    <w:rsid w:val="00613299"/>
    <w:rsid w:val="0061762D"/>
    <w:rsid w:val="00634238"/>
    <w:rsid w:val="00635FBC"/>
    <w:rsid w:val="00637728"/>
    <w:rsid w:val="0064113A"/>
    <w:rsid w:val="00644002"/>
    <w:rsid w:val="006458B1"/>
    <w:rsid w:val="00650529"/>
    <w:rsid w:val="00650BAB"/>
    <w:rsid w:val="00651737"/>
    <w:rsid w:val="006536DD"/>
    <w:rsid w:val="006671BF"/>
    <w:rsid w:val="00672A7D"/>
    <w:rsid w:val="00681416"/>
    <w:rsid w:val="00683487"/>
    <w:rsid w:val="006A06F5"/>
    <w:rsid w:val="006A0ED2"/>
    <w:rsid w:val="006B0A73"/>
    <w:rsid w:val="006B5A6B"/>
    <w:rsid w:val="006C0F82"/>
    <w:rsid w:val="006C332E"/>
    <w:rsid w:val="006C5901"/>
    <w:rsid w:val="006D6372"/>
    <w:rsid w:val="006D6E5C"/>
    <w:rsid w:val="006E02AF"/>
    <w:rsid w:val="006E0786"/>
    <w:rsid w:val="006E09BA"/>
    <w:rsid w:val="006E6B4A"/>
    <w:rsid w:val="006E7449"/>
    <w:rsid w:val="006E7FB1"/>
    <w:rsid w:val="006F2604"/>
    <w:rsid w:val="006F5319"/>
    <w:rsid w:val="006F55FD"/>
    <w:rsid w:val="006F5D21"/>
    <w:rsid w:val="00711BE3"/>
    <w:rsid w:val="00723D25"/>
    <w:rsid w:val="00724FA7"/>
    <w:rsid w:val="00725415"/>
    <w:rsid w:val="00727505"/>
    <w:rsid w:val="00731581"/>
    <w:rsid w:val="00741B9E"/>
    <w:rsid w:val="00743DAC"/>
    <w:rsid w:val="007531EA"/>
    <w:rsid w:val="0075337B"/>
    <w:rsid w:val="00754AFA"/>
    <w:rsid w:val="00755CD4"/>
    <w:rsid w:val="00757F96"/>
    <w:rsid w:val="00785285"/>
    <w:rsid w:val="0078529D"/>
    <w:rsid w:val="00787DC1"/>
    <w:rsid w:val="00794070"/>
    <w:rsid w:val="007A713B"/>
    <w:rsid w:val="007B64E5"/>
    <w:rsid w:val="007C2F04"/>
    <w:rsid w:val="007F0D3F"/>
    <w:rsid w:val="007F5B8B"/>
    <w:rsid w:val="00817E9A"/>
    <w:rsid w:val="00830D57"/>
    <w:rsid w:val="00860B07"/>
    <w:rsid w:val="008616F6"/>
    <w:rsid w:val="0086259C"/>
    <w:rsid w:val="00883F24"/>
    <w:rsid w:val="00897E1F"/>
    <w:rsid w:val="008B2CB4"/>
    <w:rsid w:val="008B6404"/>
    <w:rsid w:val="008C2C21"/>
    <w:rsid w:val="008C7DD3"/>
    <w:rsid w:val="008E000B"/>
    <w:rsid w:val="008E2926"/>
    <w:rsid w:val="008E35C6"/>
    <w:rsid w:val="008E3F49"/>
    <w:rsid w:val="008F243B"/>
    <w:rsid w:val="008F4675"/>
    <w:rsid w:val="00904A66"/>
    <w:rsid w:val="00913FAB"/>
    <w:rsid w:val="0092287F"/>
    <w:rsid w:val="0092495B"/>
    <w:rsid w:val="0092660E"/>
    <w:rsid w:val="00936519"/>
    <w:rsid w:val="00941DA3"/>
    <w:rsid w:val="00942C0C"/>
    <w:rsid w:val="00943B53"/>
    <w:rsid w:val="009539E3"/>
    <w:rsid w:val="00954A5E"/>
    <w:rsid w:val="009551B2"/>
    <w:rsid w:val="00964625"/>
    <w:rsid w:val="00981C1D"/>
    <w:rsid w:val="00983417"/>
    <w:rsid w:val="0099109C"/>
    <w:rsid w:val="009936DB"/>
    <w:rsid w:val="00993CFC"/>
    <w:rsid w:val="009A1DC2"/>
    <w:rsid w:val="009C0914"/>
    <w:rsid w:val="009C27E5"/>
    <w:rsid w:val="009D71E8"/>
    <w:rsid w:val="009E104B"/>
    <w:rsid w:val="009E7DE4"/>
    <w:rsid w:val="009F31F0"/>
    <w:rsid w:val="009F3BBD"/>
    <w:rsid w:val="009F5876"/>
    <w:rsid w:val="009F5F47"/>
    <w:rsid w:val="00A063DD"/>
    <w:rsid w:val="00A112B5"/>
    <w:rsid w:val="00A14EEA"/>
    <w:rsid w:val="00A1F0C5"/>
    <w:rsid w:val="00A31D4B"/>
    <w:rsid w:val="00A44FBB"/>
    <w:rsid w:val="00A50104"/>
    <w:rsid w:val="00A522E0"/>
    <w:rsid w:val="00A63579"/>
    <w:rsid w:val="00A638AC"/>
    <w:rsid w:val="00A727E5"/>
    <w:rsid w:val="00A748B5"/>
    <w:rsid w:val="00A80A32"/>
    <w:rsid w:val="00A82A98"/>
    <w:rsid w:val="00A82D16"/>
    <w:rsid w:val="00A91B95"/>
    <w:rsid w:val="00A95F75"/>
    <w:rsid w:val="00A96B83"/>
    <w:rsid w:val="00AA355B"/>
    <w:rsid w:val="00AA42E5"/>
    <w:rsid w:val="00AB24FA"/>
    <w:rsid w:val="00AD7B5A"/>
    <w:rsid w:val="00AE229F"/>
    <w:rsid w:val="00AF5E20"/>
    <w:rsid w:val="00B002FA"/>
    <w:rsid w:val="00B00327"/>
    <w:rsid w:val="00B024B3"/>
    <w:rsid w:val="00B11DE8"/>
    <w:rsid w:val="00B179ED"/>
    <w:rsid w:val="00B20E18"/>
    <w:rsid w:val="00B572C4"/>
    <w:rsid w:val="00B60858"/>
    <w:rsid w:val="00B74D4E"/>
    <w:rsid w:val="00B80219"/>
    <w:rsid w:val="00BA19A5"/>
    <w:rsid w:val="00BC67F6"/>
    <w:rsid w:val="00BD2004"/>
    <w:rsid w:val="00BD4B12"/>
    <w:rsid w:val="00BE2F92"/>
    <w:rsid w:val="00BF0D5F"/>
    <w:rsid w:val="00C11EB4"/>
    <w:rsid w:val="00C12746"/>
    <w:rsid w:val="00C25827"/>
    <w:rsid w:val="00C2B5EF"/>
    <w:rsid w:val="00C31BB8"/>
    <w:rsid w:val="00C34E50"/>
    <w:rsid w:val="00C373EA"/>
    <w:rsid w:val="00C621C1"/>
    <w:rsid w:val="00C62989"/>
    <w:rsid w:val="00C65CBB"/>
    <w:rsid w:val="00C743ED"/>
    <w:rsid w:val="00C80F37"/>
    <w:rsid w:val="00C97A7F"/>
    <w:rsid w:val="00CB5B17"/>
    <w:rsid w:val="00CC4443"/>
    <w:rsid w:val="00CC5CAF"/>
    <w:rsid w:val="00D06874"/>
    <w:rsid w:val="00D173F7"/>
    <w:rsid w:val="00D20203"/>
    <w:rsid w:val="00D204E0"/>
    <w:rsid w:val="00D21354"/>
    <w:rsid w:val="00D22400"/>
    <w:rsid w:val="00D278BA"/>
    <w:rsid w:val="00D33FE5"/>
    <w:rsid w:val="00D3578A"/>
    <w:rsid w:val="00D4463C"/>
    <w:rsid w:val="00D501EE"/>
    <w:rsid w:val="00D517DC"/>
    <w:rsid w:val="00D5590D"/>
    <w:rsid w:val="00D5620A"/>
    <w:rsid w:val="00D618E4"/>
    <w:rsid w:val="00D61DA5"/>
    <w:rsid w:val="00D875ED"/>
    <w:rsid w:val="00D877D0"/>
    <w:rsid w:val="00D90013"/>
    <w:rsid w:val="00D91B9C"/>
    <w:rsid w:val="00D92C1B"/>
    <w:rsid w:val="00D94CC7"/>
    <w:rsid w:val="00DA1AF4"/>
    <w:rsid w:val="00DB0C60"/>
    <w:rsid w:val="00DC641A"/>
    <w:rsid w:val="00DD6B7D"/>
    <w:rsid w:val="00DD6E14"/>
    <w:rsid w:val="00DE15AC"/>
    <w:rsid w:val="00E061EC"/>
    <w:rsid w:val="00E13E51"/>
    <w:rsid w:val="00E43EAD"/>
    <w:rsid w:val="00E5394F"/>
    <w:rsid w:val="00E62DCB"/>
    <w:rsid w:val="00E651DD"/>
    <w:rsid w:val="00E66558"/>
    <w:rsid w:val="00E70D81"/>
    <w:rsid w:val="00E726A6"/>
    <w:rsid w:val="00E86F05"/>
    <w:rsid w:val="00EA3A2A"/>
    <w:rsid w:val="00EB4556"/>
    <w:rsid w:val="00EB64C8"/>
    <w:rsid w:val="00ED5108"/>
    <w:rsid w:val="00F012CA"/>
    <w:rsid w:val="00F01752"/>
    <w:rsid w:val="00F0355A"/>
    <w:rsid w:val="00F24A7E"/>
    <w:rsid w:val="00F33DC0"/>
    <w:rsid w:val="00F62587"/>
    <w:rsid w:val="00F63E9E"/>
    <w:rsid w:val="00F76843"/>
    <w:rsid w:val="00F776E1"/>
    <w:rsid w:val="00F925EB"/>
    <w:rsid w:val="00FA6DD0"/>
    <w:rsid w:val="00FC28DF"/>
    <w:rsid w:val="00FE1B54"/>
    <w:rsid w:val="00FE3136"/>
    <w:rsid w:val="00FE50A3"/>
    <w:rsid w:val="00FF369D"/>
    <w:rsid w:val="00FF6FB0"/>
    <w:rsid w:val="01471E0A"/>
    <w:rsid w:val="0151C1B8"/>
    <w:rsid w:val="018296C5"/>
    <w:rsid w:val="0190DBBF"/>
    <w:rsid w:val="019E4212"/>
    <w:rsid w:val="01A6313C"/>
    <w:rsid w:val="01BEB589"/>
    <w:rsid w:val="01EEFFDE"/>
    <w:rsid w:val="01F91250"/>
    <w:rsid w:val="02075F67"/>
    <w:rsid w:val="0225266D"/>
    <w:rsid w:val="023314EF"/>
    <w:rsid w:val="0251E49F"/>
    <w:rsid w:val="025CBAC1"/>
    <w:rsid w:val="02D20D35"/>
    <w:rsid w:val="02F1BFE5"/>
    <w:rsid w:val="02F33F2F"/>
    <w:rsid w:val="02FC3117"/>
    <w:rsid w:val="031ABF2A"/>
    <w:rsid w:val="033E3436"/>
    <w:rsid w:val="03578AF9"/>
    <w:rsid w:val="035BC39B"/>
    <w:rsid w:val="0366A3BE"/>
    <w:rsid w:val="038173E2"/>
    <w:rsid w:val="03BE9465"/>
    <w:rsid w:val="03D72447"/>
    <w:rsid w:val="03F37735"/>
    <w:rsid w:val="0424C3CC"/>
    <w:rsid w:val="04852189"/>
    <w:rsid w:val="049CD683"/>
    <w:rsid w:val="04A7BBEA"/>
    <w:rsid w:val="04F748F1"/>
    <w:rsid w:val="05464044"/>
    <w:rsid w:val="0563F719"/>
    <w:rsid w:val="057327FD"/>
    <w:rsid w:val="057A70C9"/>
    <w:rsid w:val="0584831E"/>
    <w:rsid w:val="0584A9CF"/>
    <w:rsid w:val="05A24ED7"/>
    <w:rsid w:val="05A8535D"/>
    <w:rsid w:val="05B4C752"/>
    <w:rsid w:val="05B6D577"/>
    <w:rsid w:val="05D8E0DE"/>
    <w:rsid w:val="06033AAF"/>
    <w:rsid w:val="061F2CDD"/>
    <w:rsid w:val="066DE133"/>
    <w:rsid w:val="0670B1C6"/>
    <w:rsid w:val="069100B9"/>
    <w:rsid w:val="0693C5B0"/>
    <w:rsid w:val="069AA0E3"/>
    <w:rsid w:val="06D143BD"/>
    <w:rsid w:val="06EDB59A"/>
    <w:rsid w:val="06F35F58"/>
    <w:rsid w:val="06FE72C2"/>
    <w:rsid w:val="07113372"/>
    <w:rsid w:val="07206A6C"/>
    <w:rsid w:val="073D5DA8"/>
    <w:rsid w:val="0778C09F"/>
    <w:rsid w:val="079F1ED2"/>
    <w:rsid w:val="07B5123E"/>
    <w:rsid w:val="07FFD3D3"/>
    <w:rsid w:val="0800E74C"/>
    <w:rsid w:val="080906A8"/>
    <w:rsid w:val="080A8B9A"/>
    <w:rsid w:val="080C1BA7"/>
    <w:rsid w:val="0833C06C"/>
    <w:rsid w:val="0834055A"/>
    <w:rsid w:val="0864C04E"/>
    <w:rsid w:val="08906341"/>
    <w:rsid w:val="090766D3"/>
    <w:rsid w:val="09225FD8"/>
    <w:rsid w:val="0957FFFE"/>
    <w:rsid w:val="0965D33C"/>
    <w:rsid w:val="09AE6D65"/>
    <w:rsid w:val="09D31200"/>
    <w:rsid w:val="0A1B212B"/>
    <w:rsid w:val="0A1D4566"/>
    <w:rsid w:val="0A2B5290"/>
    <w:rsid w:val="0A3F8EBC"/>
    <w:rsid w:val="0A7CC4A8"/>
    <w:rsid w:val="0ADE2ED8"/>
    <w:rsid w:val="0B240EAF"/>
    <w:rsid w:val="0B4D3FCA"/>
    <w:rsid w:val="0B53999D"/>
    <w:rsid w:val="0B6974A5"/>
    <w:rsid w:val="0BB44564"/>
    <w:rsid w:val="0BD43C8F"/>
    <w:rsid w:val="0BD8A686"/>
    <w:rsid w:val="0BF28371"/>
    <w:rsid w:val="0BF67762"/>
    <w:rsid w:val="0BFCA642"/>
    <w:rsid w:val="0C701C18"/>
    <w:rsid w:val="0CA4BFAD"/>
    <w:rsid w:val="0CF71500"/>
    <w:rsid w:val="0D3B0C0E"/>
    <w:rsid w:val="0D4A6C0A"/>
    <w:rsid w:val="0D4ED501"/>
    <w:rsid w:val="0DC067A3"/>
    <w:rsid w:val="0DC96751"/>
    <w:rsid w:val="0DFBE766"/>
    <w:rsid w:val="0E0AE141"/>
    <w:rsid w:val="0E37F7BA"/>
    <w:rsid w:val="0E60BC17"/>
    <w:rsid w:val="0E6B7807"/>
    <w:rsid w:val="0E9FC1E2"/>
    <w:rsid w:val="0EF97593"/>
    <w:rsid w:val="0F37DB1A"/>
    <w:rsid w:val="0FE0C98A"/>
    <w:rsid w:val="0FE308FB"/>
    <w:rsid w:val="0FFAB1FB"/>
    <w:rsid w:val="10A11235"/>
    <w:rsid w:val="10B174A0"/>
    <w:rsid w:val="10C4C358"/>
    <w:rsid w:val="10D68636"/>
    <w:rsid w:val="10FF39BE"/>
    <w:rsid w:val="10FFD10E"/>
    <w:rsid w:val="110D7769"/>
    <w:rsid w:val="110FAF64"/>
    <w:rsid w:val="11300BC7"/>
    <w:rsid w:val="116939CF"/>
    <w:rsid w:val="116D7B7B"/>
    <w:rsid w:val="1177C676"/>
    <w:rsid w:val="1179EAA0"/>
    <w:rsid w:val="118E9021"/>
    <w:rsid w:val="1199B6CA"/>
    <w:rsid w:val="11B129AD"/>
    <w:rsid w:val="1209CC29"/>
    <w:rsid w:val="1221F13E"/>
    <w:rsid w:val="1257AEB0"/>
    <w:rsid w:val="126063B6"/>
    <w:rsid w:val="12835472"/>
    <w:rsid w:val="12880B7A"/>
    <w:rsid w:val="12C1489D"/>
    <w:rsid w:val="12D9FA3F"/>
    <w:rsid w:val="1303CA1A"/>
    <w:rsid w:val="13173609"/>
    <w:rsid w:val="13278413"/>
    <w:rsid w:val="132A9278"/>
    <w:rsid w:val="136E3C1A"/>
    <w:rsid w:val="13A4A076"/>
    <w:rsid w:val="14054F51"/>
    <w:rsid w:val="145110C5"/>
    <w:rsid w:val="149A1C15"/>
    <w:rsid w:val="14BA4B89"/>
    <w:rsid w:val="14BD4B1E"/>
    <w:rsid w:val="14E75FDD"/>
    <w:rsid w:val="14EBC3C5"/>
    <w:rsid w:val="14F74CCF"/>
    <w:rsid w:val="151A0894"/>
    <w:rsid w:val="151C0439"/>
    <w:rsid w:val="158F8B05"/>
    <w:rsid w:val="15967757"/>
    <w:rsid w:val="15E34FA2"/>
    <w:rsid w:val="15F36D2C"/>
    <w:rsid w:val="15FBDE49"/>
    <w:rsid w:val="166B0E32"/>
    <w:rsid w:val="169A93F7"/>
    <w:rsid w:val="16B6F736"/>
    <w:rsid w:val="17182088"/>
    <w:rsid w:val="1734871C"/>
    <w:rsid w:val="173BEAA9"/>
    <w:rsid w:val="173C55E0"/>
    <w:rsid w:val="17671C0C"/>
    <w:rsid w:val="17B93862"/>
    <w:rsid w:val="1802D5A3"/>
    <w:rsid w:val="1834DC49"/>
    <w:rsid w:val="1840F159"/>
    <w:rsid w:val="1854F3C2"/>
    <w:rsid w:val="18654E7C"/>
    <w:rsid w:val="186D0E06"/>
    <w:rsid w:val="18733CC4"/>
    <w:rsid w:val="18A7A6C1"/>
    <w:rsid w:val="18A98722"/>
    <w:rsid w:val="18CD8217"/>
    <w:rsid w:val="18E2DEAF"/>
    <w:rsid w:val="18EB8289"/>
    <w:rsid w:val="190AF73D"/>
    <w:rsid w:val="1935DFE3"/>
    <w:rsid w:val="1948C6F4"/>
    <w:rsid w:val="194C6801"/>
    <w:rsid w:val="195265FC"/>
    <w:rsid w:val="19A11327"/>
    <w:rsid w:val="19C0B0BA"/>
    <w:rsid w:val="19D94E91"/>
    <w:rsid w:val="19E98C93"/>
    <w:rsid w:val="19FC8A33"/>
    <w:rsid w:val="1A05DBBA"/>
    <w:rsid w:val="1A101A53"/>
    <w:rsid w:val="1A116DD9"/>
    <w:rsid w:val="1A172959"/>
    <w:rsid w:val="1A189A90"/>
    <w:rsid w:val="1A2F09BC"/>
    <w:rsid w:val="1A633A35"/>
    <w:rsid w:val="1A899081"/>
    <w:rsid w:val="1A933401"/>
    <w:rsid w:val="1A9C0076"/>
    <w:rsid w:val="1AC4D4C2"/>
    <w:rsid w:val="1AE5F304"/>
    <w:rsid w:val="1B14E878"/>
    <w:rsid w:val="1B223F4B"/>
    <w:rsid w:val="1B5ECCB3"/>
    <w:rsid w:val="1B849F96"/>
    <w:rsid w:val="1BAB93AD"/>
    <w:rsid w:val="1BC153A0"/>
    <w:rsid w:val="1BD01362"/>
    <w:rsid w:val="1BD0E471"/>
    <w:rsid w:val="1BEFDC52"/>
    <w:rsid w:val="1C1FF8BA"/>
    <w:rsid w:val="1C77C70C"/>
    <w:rsid w:val="1C8BE9B6"/>
    <w:rsid w:val="1CBF4D92"/>
    <w:rsid w:val="1CDE615D"/>
    <w:rsid w:val="1CDED7E2"/>
    <w:rsid w:val="1CEF14F8"/>
    <w:rsid w:val="1D83B687"/>
    <w:rsid w:val="1DBA587A"/>
    <w:rsid w:val="1DDC71F3"/>
    <w:rsid w:val="1E09004A"/>
    <w:rsid w:val="1E47C87D"/>
    <w:rsid w:val="1EB19E96"/>
    <w:rsid w:val="1ED87317"/>
    <w:rsid w:val="1EF29EDB"/>
    <w:rsid w:val="1EF74BE3"/>
    <w:rsid w:val="1F796D9B"/>
    <w:rsid w:val="1F9786B4"/>
    <w:rsid w:val="1FE77522"/>
    <w:rsid w:val="1FFDA7D9"/>
    <w:rsid w:val="201E587F"/>
    <w:rsid w:val="2025AA20"/>
    <w:rsid w:val="2043FBA3"/>
    <w:rsid w:val="206D5EFF"/>
    <w:rsid w:val="20B3BDF4"/>
    <w:rsid w:val="21407A14"/>
    <w:rsid w:val="2164D811"/>
    <w:rsid w:val="21807A08"/>
    <w:rsid w:val="2195AD73"/>
    <w:rsid w:val="219C8411"/>
    <w:rsid w:val="21B6157C"/>
    <w:rsid w:val="21D3C2D6"/>
    <w:rsid w:val="21E55E34"/>
    <w:rsid w:val="21E7670E"/>
    <w:rsid w:val="21FBE0D0"/>
    <w:rsid w:val="220B94DB"/>
    <w:rsid w:val="220EBBDF"/>
    <w:rsid w:val="22367AF4"/>
    <w:rsid w:val="227B09B8"/>
    <w:rsid w:val="229FA5E7"/>
    <w:rsid w:val="22BB49B9"/>
    <w:rsid w:val="22CC752F"/>
    <w:rsid w:val="22F44B0D"/>
    <w:rsid w:val="231A8702"/>
    <w:rsid w:val="23851691"/>
    <w:rsid w:val="23A14BE1"/>
    <w:rsid w:val="23A1709C"/>
    <w:rsid w:val="23D3B453"/>
    <w:rsid w:val="23E9F81B"/>
    <w:rsid w:val="241EBAC5"/>
    <w:rsid w:val="2472B709"/>
    <w:rsid w:val="2472BA45"/>
    <w:rsid w:val="24741C46"/>
    <w:rsid w:val="247D9F4D"/>
    <w:rsid w:val="24954305"/>
    <w:rsid w:val="2497129E"/>
    <w:rsid w:val="24A5ABC7"/>
    <w:rsid w:val="24C88A69"/>
    <w:rsid w:val="2520046F"/>
    <w:rsid w:val="256FFA6E"/>
    <w:rsid w:val="25B9C88E"/>
    <w:rsid w:val="25D0A353"/>
    <w:rsid w:val="25DD681A"/>
    <w:rsid w:val="267577C5"/>
    <w:rsid w:val="267BF5D4"/>
    <w:rsid w:val="2687C15E"/>
    <w:rsid w:val="268A7568"/>
    <w:rsid w:val="268CA035"/>
    <w:rsid w:val="26AB6614"/>
    <w:rsid w:val="26CE8581"/>
    <w:rsid w:val="26DCE0C0"/>
    <w:rsid w:val="26EE059E"/>
    <w:rsid w:val="27057DD8"/>
    <w:rsid w:val="2720F192"/>
    <w:rsid w:val="2750D500"/>
    <w:rsid w:val="27652779"/>
    <w:rsid w:val="278E84D9"/>
    <w:rsid w:val="278E8D75"/>
    <w:rsid w:val="279EE1E7"/>
    <w:rsid w:val="27E4F0EC"/>
    <w:rsid w:val="2860AB8E"/>
    <w:rsid w:val="28831E24"/>
    <w:rsid w:val="288B0B65"/>
    <w:rsid w:val="28B1A845"/>
    <w:rsid w:val="28BD9272"/>
    <w:rsid w:val="28C4A3D2"/>
    <w:rsid w:val="28D31B0D"/>
    <w:rsid w:val="28DF0B00"/>
    <w:rsid w:val="2909E868"/>
    <w:rsid w:val="2925C4C3"/>
    <w:rsid w:val="2943AE0E"/>
    <w:rsid w:val="295C4A46"/>
    <w:rsid w:val="2983422F"/>
    <w:rsid w:val="298A6AA8"/>
    <w:rsid w:val="2992060E"/>
    <w:rsid w:val="299350AF"/>
    <w:rsid w:val="29DBDF48"/>
    <w:rsid w:val="29E31C1B"/>
    <w:rsid w:val="29F714F1"/>
    <w:rsid w:val="29FD2FDF"/>
    <w:rsid w:val="2A07AE35"/>
    <w:rsid w:val="2A46B9D2"/>
    <w:rsid w:val="2A4EFDD8"/>
    <w:rsid w:val="2A60A870"/>
    <w:rsid w:val="2A78019E"/>
    <w:rsid w:val="2A8B38F3"/>
    <w:rsid w:val="2AB9A0DF"/>
    <w:rsid w:val="2AD7C8D4"/>
    <w:rsid w:val="2ADA602C"/>
    <w:rsid w:val="2ADC3657"/>
    <w:rsid w:val="2B03BA93"/>
    <w:rsid w:val="2B0B084C"/>
    <w:rsid w:val="2B236975"/>
    <w:rsid w:val="2B2802D9"/>
    <w:rsid w:val="2B317D9B"/>
    <w:rsid w:val="2B488926"/>
    <w:rsid w:val="2B5DF815"/>
    <w:rsid w:val="2B64E0F2"/>
    <w:rsid w:val="2B721E0E"/>
    <w:rsid w:val="2B7D515F"/>
    <w:rsid w:val="2B856819"/>
    <w:rsid w:val="2B85DB2E"/>
    <w:rsid w:val="2BA10831"/>
    <w:rsid w:val="2C013951"/>
    <w:rsid w:val="2C0B5A1B"/>
    <w:rsid w:val="2C22CE50"/>
    <w:rsid w:val="2C5B6E02"/>
    <w:rsid w:val="2C725DE2"/>
    <w:rsid w:val="2C7659AC"/>
    <w:rsid w:val="2CB3507E"/>
    <w:rsid w:val="2CF2216D"/>
    <w:rsid w:val="2D148CF7"/>
    <w:rsid w:val="2D168B9D"/>
    <w:rsid w:val="2D45774C"/>
    <w:rsid w:val="2D6CB570"/>
    <w:rsid w:val="2DBDB345"/>
    <w:rsid w:val="2DCBEE29"/>
    <w:rsid w:val="2DDE85A0"/>
    <w:rsid w:val="2E000F80"/>
    <w:rsid w:val="2E2AF004"/>
    <w:rsid w:val="2E3C6445"/>
    <w:rsid w:val="2E5B91F1"/>
    <w:rsid w:val="2E745DB5"/>
    <w:rsid w:val="2F322CEA"/>
    <w:rsid w:val="2F3EB975"/>
    <w:rsid w:val="2F786875"/>
    <w:rsid w:val="2FB85A9B"/>
    <w:rsid w:val="2FE74972"/>
    <w:rsid w:val="2FFB967E"/>
    <w:rsid w:val="300929C1"/>
    <w:rsid w:val="301C0745"/>
    <w:rsid w:val="30CAD8FB"/>
    <w:rsid w:val="30CE92E4"/>
    <w:rsid w:val="31064AA2"/>
    <w:rsid w:val="3110E426"/>
    <w:rsid w:val="313B6554"/>
    <w:rsid w:val="315EB6E7"/>
    <w:rsid w:val="317063B8"/>
    <w:rsid w:val="317462AC"/>
    <w:rsid w:val="31AB23DC"/>
    <w:rsid w:val="31CC4DD9"/>
    <w:rsid w:val="31DCA246"/>
    <w:rsid w:val="31FD1C2E"/>
    <w:rsid w:val="320D802D"/>
    <w:rsid w:val="324989B4"/>
    <w:rsid w:val="3249D235"/>
    <w:rsid w:val="324B07F9"/>
    <w:rsid w:val="328E55E9"/>
    <w:rsid w:val="3299D8A7"/>
    <w:rsid w:val="32AD00D0"/>
    <w:rsid w:val="32DB41B3"/>
    <w:rsid w:val="32EB9243"/>
    <w:rsid w:val="32EBCF5D"/>
    <w:rsid w:val="331683ED"/>
    <w:rsid w:val="333DB6D9"/>
    <w:rsid w:val="3347539C"/>
    <w:rsid w:val="3349ACE3"/>
    <w:rsid w:val="33650A88"/>
    <w:rsid w:val="3382FCDE"/>
    <w:rsid w:val="33B185D9"/>
    <w:rsid w:val="33E9D8F8"/>
    <w:rsid w:val="345C967A"/>
    <w:rsid w:val="3478BD49"/>
    <w:rsid w:val="347BD246"/>
    <w:rsid w:val="3493AADE"/>
    <w:rsid w:val="34981989"/>
    <w:rsid w:val="34C40137"/>
    <w:rsid w:val="34D99856"/>
    <w:rsid w:val="34ED4756"/>
    <w:rsid w:val="35118B7D"/>
    <w:rsid w:val="35D5D390"/>
    <w:rsid w:val="3644D41C"/>
    <w:rsid w:val="3654841C"/>
    <w:rsid w:val="367F447C"/>
    <w:rsid w:val="36986959"/>
    <w:rsid w:val="36D58A8D"/>
    <w:rsid w:val="37003BB9"/>
    <w:rsid w:val="3706D797"/>
    <w:rsid w:val="374006ED"/>
    <w:rsid w:val="3771EBE2"/>
    <w:rsid w:val="37A7E14C"/>
    <w:rsid w:val="37C28F6F"/>
    <w:rsid w:val="37D596F1"/>
    <w:rsid w:val="380BAE89"/>
    <w:rsid w:val="38681A0D"/>
    <w:rsid w:val="3870D14D"/>
    <w:rsid w:val="387AE035"/>
    <w:rsid w:val="388EF177"/>
    <w:rsid w:val="38AB330A"/>
    <w:rsid w:val="38D49553"/>
    <w:rsid w:val="38D64E70"/>
    <w:rsid w:val="38DDF0AA"/>
    <w:rsid w:val="39037EB5"/>
    <w:rsid w:val="395BE843"/>
    <w:rsid w:val="398DAA39"/>
    <w:rsid w:val="39A18A05"/>
    <w:rsid w:val="39AEA792"/>
    <w:rsid w:val="39C4A085"/>
    <w:rsid w:val="39F593F9"/>
    <w:rsid w:val="3A3F1ACF"/>
    <w:rsid w:val="3A405615"/>
    <w:rsid w:val="3A5F6B8F"/>
    <w:rsid w:val="3A69179F"/>
    <w:rsid w:val="3AB95BC9"/>
    <w:rsid w:val="3AF5B820"/>
    <w:rsid w:val="3AFC8270"/>
    <w:rsid w:val="3B2F2274"/>
    <w:rsid w:val="3B3F57B7"/>
    <w:rsid w:val="3B471D3B"/>
    <w:rsid w:val="3B8CE72A"/>
    <w:rsid w:val="3BAAF391"/>
    <w:rsid w:val="3BB8F364"/>
    <w:rsid w:val="3BE13FA2"/>
    <w:rsid w:val="3C1F1D91"/>
    <w:rsid w:val="3C4B5BF7"/>
    <w:rsid w:val="3C658361"/>
    <w:rsid w:val="3C8DF034"/>
    <w:rsid w:val="3C9B0EA6"/>
    <w:rsid w:val="3CB844E0"/>
    <w:rsid w:val="3CEFFAD2"/>
    <w:rsid w:val="3D04DDF1"/>
    <w:rsid w:val="3D272160"/>
    <w:rsid w:val="3D5FE666"/>
    <w:rsid w:val="3D631F23"/>
    <w:rsid w:val="3D824A23"/>
    <w:rsid w:val="3DC78AA6"/>
    <w:rsid w:val="3DCD86FD"/>
    <w:rsid w:val="3DE33BFF"/>
    <w:rsid w:val="3DF1B81E"/>
    <w:rsid w:val="3E3A45DB"/>
    <w:rsid w:val="3E8FE585"/>
    <w:rsid w:val="3EA4202B"/>
    <w:rsid w:val="3EE7E270"/>
    <w:rsid w:val="3F017853"/>
    <w:rsid w:val="3F24EE06"/>
    <w:rsid w:val="3F2E6617"/>
    <w:rsid w:val="3F504A13"/>
    <w:rsid w:val="3F660ECB"/>
    <w:rsid w:val="3F777E08"/>
    <w:rsid w:val="3FAD0427"/>
    <w:rsid w:val="3FC994F6"/>
    <w:rsid w:val="3FDDFD01"/>
    <w:rsid w:val="4009C9D1"/>
    <w:rsid w:val="403F9A62"/>
    <w:rsid w:val="40504AD3"/>
    <w:rsid w:val="4076B3DB"/>
    <w:rsid w:val="4077D549"/>
    <w:rsid w:val="409553E6"/>
    <w:rsid w:val="40BC8614"/>
    <w:rsid w:val="40CD9723"/>
    <w:rsid w:val="40E08D62"/>
    <w:rsid w:val="41070299"/>
    <w:rsid w:val="412AA031"/>
    <w:rsid w:val="414B383A"/>
    <w:rsid w:val="418407A1"/>
    <w:rsid w:val="41BD2883"/>
    <w:rsid w:val="41D7FAAE"/>
    <w:rsid w:val="421DA7CE"/>
    <w:rsid w:val="4230BA11"/>
    <w:rsid w:val="4244E655"/>
    <w:rsid w:val="426C03AC"/>
    <w:rsid w:val="42CFB7C5"/>
    <w:rsid w:val="42D0B1A7"/>
    <w:rsid w:val="42FDCEDA"/>
    <w:rsid w:val="43119615"/>
    <w:rsid w:val="436D2C91"/>
    <w:rsid w:val="438038D8"/>
    <w:rsid w:val="438EB2B9"/>
    <w:rsid w:val="43A99D3E"/>
    <w:rsid w:val="43DC30A0"/>
    <w:rsid w:val="442E3DDC"/>
    <w:rsid w:val="4465BD86"/>
    <w:rsid w:val="446B83D6"/>
    <w:rsid w:val="446BA555"/>
    <w:rsid w:val="44862289"/>
    <w:rsid w:val="44D6BF4D"/>
    <w:rsid w:val="44DA9EAD"/>
    <w:rsid w:val="4525840A"/>
    <w:rsid w:val="456CC612"/>
    <w:rsid w:val="458680B8"/>
    <w:rsid w:val="459DDF70"/>
    <w:rsid w:val="45CD43CB"/>
    <w:rsid w:val="45D2CA4F"/>
    <w:rsid w:val="460FB213"/>
    <w:rsid w:val="4644EBF1"/>
    <w:rsid w:val="4659DFE1"/>
    <w:rsid w:val="4692D82E"/>
    <w:rsid w:val="46C44086"/>
    <w:rsid w:val="46C7AAD3"/>
    <w:rsid w:val="47207AEE"/>
    <w:rsid w:val="4743E079"/>
    <w:rsid w:val="474D746A"/>
    <w:rsid w:val="475BA9ED"/>
    <w:rsid w:val="475BE65F"/>
    <w:rsid w:val="4776F677"/>
    <w:rsid w:val="4784E3FD"/>
    <w:rsid w:val="478659CB"/>
    <w:rsid w:val="47866917"/>
    <w:rsid w:val="47986859"/>
    <w:rsid w:val="47C09CAC"/>
    <w:rsid w:val="47D5B100"/>
    <w:rsid w:val="47D6DB4A"/>
    <w:rsid w:val="47E2193C"/>
    <w:rsid w:val="47FE2ED6"/>
    <w:rsid w:val="480BDAD4"/>
    <w:rsid w:val="4815AA2D"/>
    <w:rsid w:val="48372035"/>
    <w:rsid w:val="484FB72D"/>
    <w:rsid w:val="48590E61"/>
    <w:rsid w:val="4875A141"/>
    <w:rsid w:val="48A831B7"/>
    <w:rsid w:val="48F9A91E"/>
    <w:rsid w:val="491E3A64"/>
    <w:rsid w:val="49321731"/>
    <w:rsid w:val="49736073"/>
    <w:rsid w:val="497A60DD"/>
    <w:rsid w:val="498A3490"/>
    <w:rsid w:val="498C15A4"/>
    <w:rsid w:val="49A557F8"/>
    <w:rsid w:val="49C26FED"/>
    <w:rsid w:val="49F63BD4"/>
    <w:rsid w:val="4A2F97FB"/>
    <w:rsid w:val="4A3D7E61"/>
    <w:rsid w:val="4A4A426F"/>
    <w:rsid w:val="4A7ADCBF"/>
    <w:rsid w:val="4A87C5D0"/>
    <w:rsid w:val="4AAF9432"/>
    <w:rsid w:val="4AE52649"/>
    <w:rsid w:val="4AFFA640"/>
    <w:rsid w:val="4B2DFD20"/>
    <w:rsid w:val="4B426D85"/>
    <w:rsid w:val="4B536178"/>
    <w:rsid w:val="4BD9640D"/>
    <w:rsid w:val="4BF69EA0"/>
    <w:rsid w:val="4C233D2A"/>
    <w:rsid w:val="4C3ADC86"/>
    <w:rsid w:val="4C6BF365"/>
    <w:rsid w:val="4C80334B"/>
    <w:rsid w:val="4C9816D2"/>
    <w:rsid w:val="4C9A0625"/>
    <w:rsid w:val="4D103F5F"/>
    <w:rsid w:val="4D1574F3"/>
    <w:rsid w:val="4D535632"/>
    <w:rsid w:val="4D79EDD0"/>
    <w:rsid w:val="4D9DD0B8"/>
    <w:rsid w:val="4DA5021E"/>
    <w:rsid w:val="4DB8F0D1"/>
    <w:rsid w:val="4E17087F"/>
    <w:rsid w:val="4E1ACB30"/>
    <w:rsid w:val="4E6440BD"/>
    <w:rsid w:val="4E6570DB"/>
    <w:rsid w:val="4E6F587B"/>
    <w:rsid w:val="4EB89A70"/>
    <w:rsid w:val="4EC89840"/>
    <w:rsid w:val="4ECDAE8C"/>
    <w:rsid w:val="4EF41B6B"/>
    <w:rsid w:val="4F0DB28D"/>
    <w:rsid w:val="4F15B265"/>
    <w:rsid w:val="4F4525E8"/>
    <w:rsid w:val="4FB3653D"/>
    <w:rsid w:val="4FE12EA1"/>
    <w:rsid w:val="500252D0"/>
    <w:rsid w:val="5022F254"/>
    <w:rsid w:val="5025EED4"/>
    <w:rsid w:val="5042DD76"/>
    <w:rsid w:val="504DFAED"/>
    <w:rsid w:val="50652813"/>
    <w:rsid w:val="5094464B"/>
    <w:rsid w:val="512D3AF9"/>
    <w:rsid w:val="51354638"/>
    <w:rsid w:val="515C9D03"/>
    <w:rsid w:val="5168E11A"/>
    <w:rsid w:val="51792DEB"/>
    <w:rsid w:val="517A8834"/>
    <w:rsid w:val="51ACA3DD"/>
    <w:rsid w:val="51E4F15E"/>
    <w:rsid w:val="52885DD0"/>
    <w:rsid w:val="52C18BB9"/>
    <w:rsid w:val="53180F53"/>
    <w:rsid w:val="5357FBC0"/>
    <w:rsid w:val="537054B7"/>
    <w:rsid w:val="53B629F3"/>
    <w:rsid w:val="53C94E3E"/>
    <w:rsid w:val="53D91631"/>
    <w:rsid w:val="53F5B0FE"/>
    <w:rsid w:val="53FC17E0"/>
    <w:rsid w:val="545038EF"/>
    <w:rsid w:val="5456407D"/>
    <w:rsid w:val="548FEC33"/>
    <w:rsid w:val="5524266A"/>
    <w:rsid w:val="55264A12"/>
    <w:rsid w:val="5549100F"/>
    <w:rsid w:val="554BE560"/>
    <w:rsid w:val="5571BAB0"/>
    <w:rsid w:val="55A7ECBB"/>
    <w:rsid w:val="55A9696E"/>
    <w:rsid w:val="55AE84C7"/>
    <w:rsid w:val="55CF00D8"/>
    <w:rsid w:val="55F6CD72"/>
    <w:rsid w:val="55F9869D"/>
    <w:rsid w:val="560D5F4A"/>
    <w:rsid w:val="56391DD8"/>
    <w:rsid w:val="563AD2BD"/>
    <w:rsid w:val="567FC128"/>
    <w:rsid w:val="56A3B4D6"/>
    <w:rsid w:val="56C215D1"/>
    <w:rsid w:val="56D9AA76"/>
    <w:rsid w:val="5754235C"/>
    <w:rsid w:val="575BD148"/>
    <w:rsid w:val="57610040"/>
    <w:rsid w:val="5762C2C1"/>
    <w:rsid w:val="57B0982C"/>
    <w:rsid w:val="57B14485"/>
    <w:rsid w:val="57BF97F8"/>
    <w:rsid w:val="57DFB15D"/>
    <w:rsid w:val="57F0D135"/>
    <w:rsid w:val="5801F2AC"/>
    <w:rsid w:val="5887821D"/>
    <w:rsid w:val="58998710"/>
    <w:rsid w:val="58AB57A6"/>
    <w:rsid w:val="58B0BC81"/>
    <w:rsid w:val="590B7CF9"/>
    <w:rsid w:val="590ED7B3"/>
    <w:rsid w:val="591395D6"/>
    <w:rsid w:val="597A4D5F"/>
    <w:rsid w:val="59987420"/>
    <w:rsid w:val="59AD5F4F"/>
    <w:rsid w:val="59AE92F0"/>
    <w:rsid w:val="59D894BB"/>
    <w:rsid w:val="59ECD6FE"/>
    <w:rsid w:val="5A1B97AD"/>
    <w:rsid w:val="5A33227A"/>
    <w:rsid w:val="5A4545CF"/>
    <w:rsid w:val="5A46EEBC"/>
    <w:rsid w:val="5AC340D2"/>
    <w:rsid w:val="5AE3114C"/>
    <w:rsid w:val="5B050EE7"/>
    <w:rsid w:val="5B2FE883"/>
    <w:rsid w:val="5B49CFA7"/>
    <w:rsid w:val="5B7D3033"/>
    <w:rsid w:val="5BD3EA29"/>
    <w:rsid w:val="5BF0703B"/>
    <w:rsid w:val="5C16FA95"/>
    <w:rsid w:val="5C40C457"/>
    <w:rsid w:val="5C5B0A21"/>
    <w:rsid w:val="5C785334"/>
    <w:rsid w:val="5C99D432"/>
    <w:rsid w:val="5CB2CA81"/>
    <w:rsid w:val="5CC05D80"/>
    <w:rsid w:val="5CCCC046"/>
    <w:rsid w:val="5CD24B0C"/>
    <w:rsid w:val="5CDAE615"/>
    <w:rsid w:val="5CF2E93F"/>
    <w:rsid w:val="5D15EE4B"/>
    <w:rsid w:val="5D1CF710"/>
    <w:rsid w:val="5D1E8D84"/>
    <w:rsid w:val="5D243095"/>
    <w:rsid w:val="5D3C892D"/>
    <w:rsid w:val="5D442E74"/>
    <w:rsid w:val="5D6E63C3"/>
    <w:rsid w:val="5D835CA5"/>
    <w:rsid w:val="5DB77ACC"/>
    <w:rsid w:val="5DC0C855"/>
    <w:rsid w:val="5DC41257"/>
    <w:rsid w:val="5DEA3838"/>
    <w:rsid w:val="5DFBA292"/>
    <w:rsid w:val="5E29C04B"/>
    <w:rsid w:val="5F156797"/>
    <w:rsid w:val="5F17D40C"/>
    <w:rsid w:val="5F3A7B6B"/>
    <w:rsid w:val="5F40B27A"/>
    <w:rsid w:val="5F5F68C8"/>
    <w:rsid w:val="5F87D247"/>
    <w:rsid w:val="5FB699DF"/>
    <w:rsid w:val="5FD337C0"/>
    <w:rsid w:val="5FDA5750"/>
    <w:rsid w:val="5FF68AB9"/>
    <w:rsid w:val="60388304"/>
    <w:rsid w:val="603AA38B"/>
    <w:rsid w:val="606B5DBD"/>
    <w:rsid w:val="606C08E6"/>
    <w:rsid w:val="60772355"/>
    <w:rsid w:val="607E5EB5"/>
    <w:rsid w:val="608A29C1"/>
    <w:rsid w:val="60CB55C6"/>
    <w:rsid w:val="60D62B04"/>
    <w:rsid w:val="60EA1007"/>
    <w:rsid w:val="60EBCF47"/>
    <w:rsid w:val="60F06B0E"/>
    <w:rsid w:val="61423BE8"/>
    <w:rsid w:val="615C0E21"/>
    <w:rsid w:val="61740DE1"/>
    <w:rsid w:val="61747014"/>
    <w:rsid w:val="617B4808"/>
    <w:rsid w:val="61A6A2D2"/>
    <w:rsid w:val="61C25C60"/>
    <w:rsid w:val="61CBDD2C"/>
    <w:rsid w:val="61D59ABE"/>
    <w:rsid w:val="624A2BD0"/>
    <w:rsid w:val="625D1A15"/>
    <w:rsid w:val="626495BA"/>
    <w:rsid w:val="6264F25B"/>
    <w:rsid w:val="627AB49A"/>
    <w:rsid w:val="627ADCB1"/>
    <w:rsid w:val="62A0A348"/>
    <w:rsid w:val="62A57C30"/>
    <w:rsid w:val="62A85AC4"/>
    <w:rsid w:val="62EF51A6"/>
    <w:rsid w:val="630FEC9A"/>
    <w:rsid w:val="632820B1"/>
    <w:rsid w:val="632A9D8D"/>
    <w:rsid w:val="633C71A7"/>
    <w:rsid w:val="634737D5"/>
    <w:rsid w:val="63812621"/>
    <w:rsid w:val="638342FD"/>
    <w:rsid w:val="639822FA"/>
    <w:rsid w:val="63C91BC5"/>
    <w:rsid w:val="63E200E6"/>
    <w:rsid w:val="63F4D8CA"/>
    <w:rsid w:val="64094816"/>
    <w:rsid w:val="641B3DD5"/>
    <w:rsid w:val="6428FDCF"/>
    <w:rsid w:val="6451E281"/>
    <w:rsid w:val="64E90DB2"/>
    <w:rsid w:val="654A47EC"/>
    <w:rsid w:val="65A8902B"/>
    <w:rsid w:val="65ACFE7E"/>
    <w:rsid w:val="65D1FDAE"/>
    <w:rsid w:val="65F1DD8F"/>
    <w:rsid w:val="65F5F648"/>
    <w:rsid w:val="660958A2"/>
    <w:rsid w:val="660C3E6C"/>
    <w:rsid w:val="661FBBAF"/>
    <w:rsid w:val="6630D269"/>
    <w:rsid w:val="66492F09"/>
    <w:rsid w:val="665C25B4"/>
    <w:rsid w:val="6674CA21"/>
    <w:rsid w:val="668931EF"/>
    <w:rsid w:val="66C2A52F"/>
    <w:rsid w:val="66FBCE2F"/>
    <w:rsid w:val="6759C48B"/>
    <w:rsid w:val="678F479F"/>
    <w:rsid w:val="67DA8A08"/>
    <w:rsid w:val="67DB50E9"/>
    <w:rsid w:val="68069A99"/>
    <w:rsid w:val="680786B1"/>
    <w:rsid w:val="683293DB"/>
    <w:rsid w:val="68B878E6"/>
    <w:rsid w:val="68C063F5"/>
    <w:rsid w:val="68DF34A4"/>
    <w:rsid w:val="6918381A"/>
    <w:rsid w:val="693DC953"/>
    <w:rsid w:val="698E56C7"/>
    <w:rsid w:val="6990C55B"/>
    <w:rsid w:val="69BFA1BA"/>
    <w:rsid w:val="69D35F74"/>
    <w:rsid w:val="6A264AA8"/>
    <w:rsid w:val="6A6F4C8E"/>
    <w:rsid w:val="6A7F5A83"/>
    <w:rsid w:val="6A7F7AB3"/>
    <w:rsid w:val="6A9B2CD4"/>
    <w:rsid w:val="6AA45B13"/>
    <w:rsid w:val="6B11517A"/>
    <w:rsid w:val="6B41469B"/>
    <w:rsid w:val="6B8734EC"/>
    <w:rsid w:val="6BC44A59"/>
    <w:rsid w:val="6BC98165"/>
    <w:rsid w:val="6C04E9C3"/>
    <w:rsid w:val="6C0BAB69"/>
    <w:rsid w:val="6C5CDEE5"/>
    <w:rsid w:val="6C7041C1"/>
    <w:rsid w:val="6C78E8D8"/>
    <w:rsid w:val="6C95047B"/>
    <w:rsid w:val="6C96E0CA"/>
    <w:rsid w:val="6C9CA228"/>
    <w:rsid w:val="6CA91248"/>
    <w:rsid w:val="6CFBD869"/>
    <w:rsid w:val="6D28B1AF"/>
    <w:rsid w:val="6D435BF5"/>
    <w:rsid w:val="6D582F56"/>
    <w:rsid w:val="6D616F43"/>
    <w:rsid w:val="6D6E3ECB"/>
    <w:rsid w:val="6D7CE0F6"/>
    <w:rsid w:val="6DBC1BBC"/>
    <w:rsid w:val="6DD1759C"/>
    <w:rsid w:val="6DDF27BE"/>
    <w:rsid w:val="6E25B72E"/>
    <w:rsid w:val="6E2D09BB"/>
    <w:rsid w:val="6E2D4F46"/>
    <w:rsid w:val="6E518053"/>
    <w:rsid w:val="6E540288"/>
    <w:rsid w:val="6E608913"/>
    <w:rsid w:val="6E81F38C"/>
    <w:rsid w:val="6E9B6192"/>
    <w:rsid w:val="6EABEEEA"/>
    <w:rsid w:val="6EB485F3"/>
    <w:rsid w:val="6EB73EE5"/>
    <w:rsid w:val="6EECC47E"/>
    <w:rsid w:val="6F1FD012"/>
    <w:rsid w:val="6F73FF4A"/>
    <w:rsid w:val="6F7EABA7"/>
    <w:rsid w:val="6F808CFA"/>
    <w:rsid w:val="6FB71DA9"/>
    <w:rsid w:val="6FE5A45A"/>
    <w:rsid w:val="703C8719"/>
    <w:rsid w:val="704C54D6"/>
    <w:rsid w:val="706A4224"/>
    <w:rsid w:val="707D6211"/>
    <w:rsid w:val="70AF4203"/>
    <w:rsid w:val="70B65369"/>
    <w:rsid w:val="70E61EC1"/>
    <w:rsid w:val="70EFF2A1"/>
    <w:rsid w:val="7112B389"/>
    <w:rsid w:val="713B8F79"/>
    <w:rsid w:val="714E4E30"/>
    <w:rsid w:val="7202DEE0"/>
    <w:rsid w:val="7214B926"/>
    <w:rsid w:val="7221D278"/>
    <w:rsid w:val="725AD7B3"/>
    <w:rsid w:val="726A8F9F"/>
    <w:rsid w:val="7278A7DB"/>
    <w:rsid w:val="7284C70B"/>
    <w:rsid w:val="729D60A3"/>
    <w:rsid w:val="72AC50F8"/>
    <w:rsid w:val="72C73A85"/>
    <w:rsid w:val="72E78955"/>
    <w:rsid w:val="72F20253"/>
    <w:rsid w:val="72FFAEA1"/>
    <w:rsid w:val="7301AD6F"/>
    <w:rsid w:val="73073BB3"/>
    <w:rsid w:val="730E3C8B"/>
    <w:rsid w:val="7321F4B1"/>
    <w:rsid w:val="735260A8"/>
    <w:rsid w:val="735C4FE2"/>
    <w:rsid w:val="736C2C49"/>
    <w:rsid w:val="73939692"/>
    <w:rsid w:val="73D34BEF"/>
    <w:rsid w:val="73D9636D"/>
    <w:rsid w:val="73E59D68"/>
    <w:rsid w:val="73E639A0"/>
    <w:rsid w:val="73E71F40"/>
    <w:rsid w:val="7419EF19"/>
    <w:rsid w:val="7429E5DA"/>
    <w:rsid w:val="7441A02D"/>
    <w:rsid w:val="7441AFD0"/>
    <w:rsid w:val="7534A768"/>
    <w:rsid w:val="7546A090"/>
    <w:rsid w:val="7549F4C3"/>
    <w:rsid w:val="754FBC58"/>
    <w:rsid w:val="7583962E"/>
    <w:rsid w:val="75A44292"/>
    <w:rsid w:val="7609D902"/>
    <w:rsid w:val="762C558F"/>
    <w:rsid w:val="76522332"/>
    <w:rsid w:val="7654B26E"/>
    <w:rsid w:val="768B914D"/>
    <w:rsid w:val="76A962C9"/>
    <w:rsid w:val="76B3E6B0"/>
    <w:rsid w:val="76CACCE3"/>
    <w:rsid w:val="76CF0F15"/>
    <w:rsid w:val="778586A4"/>
    <w:rsid w:val="77FC32D6"/>
    <w:rsid w:val="7822E059"/>
    <w:rsid w:val="7868FA5F"/>
    <w:rsid w:val="78D8EF63"/>
    <w:rsid w:val="78F2EDC6"/>
    <w:rsid w:val="78F468FF"/>
    <w:rsid w:val="79134541"/>
    <w:rsid w:val="79254EA1"/>
    <w:rsid w:val="7926B797"/>
    <w:rsid w:val="79342817"/>
    <w:rsid w:val="79448239"/>
    <w:rsid w:val="7949BD94"/>
    <w:rsid w:val="79630F15"/>
    <w:rsid w:val="7986E293"/>
    <w:rsid w:val="79A3AEB9"/>
    <w:rsid w:val="79AA5E32"/>
    <w:rsid w:val="79B94054"/>
    <w:rsid w:val="79CA2BBC"/>
    <w:rsid w:val="79D85637"/>
    <w:rsid w:val="7A31EEA2"/>
    <w:rsid w:val="7A41D103"/>
    <w:rsid w:val="7A4DFE8F"/>
    <w:rsid w:val="7A8DFBBC"/>
    <w:rsid w:val="7AAC3F26"/>
    <w:rsid w:val="7AB14D43"/>
    <w:rsid w:val="7AB50C24"/>
    <w:rsid w:val="7B0FC6D9"/>
    <w:rsid w:val="7B18489E"/>
    <w:rsid w:val="7B3D901F"/>
    <w:rsid w:val="7B40C7E4"/>
    <w:rsid w:val="7BE04D98"/>
    <w:rsid w:val="7BEA49E3"/>
    <w:rsid w:val="7BEF37A6"/>
    <w:rsid w:val="7C0749F6"/>
    <w:rsid w:val="7C0D3E39"/>
    <w:rsid w:val="7CB89CF3"/>
    <w:rsid w:val="7CD1CB43"/>
    <w:rsid w:val="7CEB1E07"/>
    <w:rsid w:val="7D0C3EB8"/>
    <w:rsid w:val="7D3425F2"/>
    <w:rsid w:val="7D605040"/>
    <w:rsid w:val="7D73A593"/>
    <w:rsid w:val="7D7A71FF"/>
    <w:rsid w:val="7D7D3160"/>
    <w:rsid w:val="7D95276B"/>
    <w:rsid w:val="7DC0CD85"/>
    <w:rsid w:val="7E05FE27"/>
    <w:rsid w:val="7E18F6DE"/>
    <w:rsid w:val="7E2646B1"/>
    <w:rsid w:val="7E38ED5E"/>
    <w:rsid w:val="7E42A717"/>
    <w:rsid w:val="7E60D314"/>
    <w:rsid w:val="7E6C0C21"/>
    <w:rsid w:val="7E76AA08"/>
    <w:rsid w:val="7E95E0A4"/>
    <w:rsid w:val="7E960263"/>
    <w:rsid w:val="7E960854"/>
    <w:rsid w:val="7E964A64"/>
    <w:rsid w:val="7E979C36"/>
    <w:rsid w:val="7EACF884"/>
    <w:rsid w:val="7EE04FB6"/>
    <w:rsid w:val="7EF64FFE"/>
    <w:rsid w:val="7F0E3B2E"/>
    <w:rsid w:val="7F116BAE"/>
    <w:rsid w:val="7F660274"/>
    <w:rsid w:val="7F70BC2F"/>
    <w:rsid w:val="7F88EE70"/>
    <w:rsid w:val="7F996CEB"/>
    <w:rsid w:val="7FC49857"/>
    <w:rsid w:val="7FD1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DC232F8-1774-47E9-8DC2-11F86D7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5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5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5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9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8"/>
      </w:numPr>
      <w:contextualSpacing/>
    </w:pPr>
  </w:style>
  <w:style w:type="paragraph" w:styleId="ListParagraph">
    <w:name w:val="List Paragraph"/>
    <w:basedOn w:val="Normal"/>
    <w:pPr>
      <w:numPr>
        <w:numId w:val="12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7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10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11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13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4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5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6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6">
    <w:name w:val="LFO6"/>
    <w:basedOn w:val="NoList"/>
    <w:pPr>
      <w:numPr>
        <w:numId w:val="9"/>
      </w:numPr>
    </w:pPr>
  </w:style>
  <w:style w:type="numbering" w:customStyle="1" w:styleId="LFO9">
    <w:name w:val="LFO9"/>
    <w:basedOn w:val="NoList"/>
    <w:pPr>
      <w:numPr>
        <w:numId w:val="10"/>
      </w:numPr>
    </w:pPr>
  </w:style>
  <w:style w:type="numbering" w:customStyle="1" w:styleId="LFO10">
    <w:name w:val="LFO10"/>
    <w:basedOn w:val="NoList"/>
    <w:pPr>
      <w:numPr>
        <w:numId w:val="11"/>
      </w:numPr>
    </w:pPr>
  </w:style>
  <w:style w:type="numbering" w:customStyle="1" w:styleId="LFO25">
    <w:name w:val="LFO25"/>
    <w:basedOn w:val="NoList"/>
    <w:pPr>
      <w:numPr>
        <w:numId w:val="12"/>
      </w:numPr>
    </w:pPr>
  </w:style>
  <w:style w:type="numbering" w:customStyle="1" w:styleId="LFO28">
    <w:name w:val="LFO28"/>
    <w:basedOn w:val="NoList"/>
    <w:pPr>
      <w:numPr>
        <w:numId w:val="13"/>
      </w:numPr>
    </w:pPr>
  </w:style>
  <w:style w:type="numbering" w:customStyle="1" w:styleId="LFO30">
    <w:name w:val="LFO30"/>
    <w:basedOn w:val="NoList"/>
    <w:pPr>
      <w:numPr>
        <w:numId w:val="14"/>
      </w:numPr>
    </w:pPr>
  </w:style>
  <w:style w:type="numbering" w:customStyle="1" w:styleId="LFO34">
    <w:name w:val="LFO34"/>
    <w:basedOn w:val="NoList"/>
    <w:pPr>
      <w:numPr>
        <w:numId w:val="15"/>
      </w:numPr>
    </w:pPr>
  </w:style>
  <w:style w:type="numbering" w:customStyle="1" w:styleId="LFO36">
    <w:name w:val="LFO36"/>
    <w:basedOn w:val="NoList"/>
    <w:pPr>
      <w:numPr>
        <w:numId w:val="16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uiPriority w:val="1"/>
    <w:rsid w:val="7F0E3B2E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cationendowmentfoundation.org.uk/early-years/maths/effective-pedagogy-mathematics" TargetMode="External"/><Relationship Id="rId18" Type="http://schemas.openxmlformats.org/officeDocument/2006/relationships/hyperlink" Target="https://educationendowmentfoundation.org.uk/education-evidence/teaching-learning-toolkit/phonic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working-together-to-improve-school-attendanc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ducationendowmentfoundation.org.uk/education-evidence/teaching-learning-toolkit/oral-language-interventions" TargetMode="External"/><Relationship Id="rId17" Type="http://schemas.openxmlformats.org/officeDocument/2006/relationships/hyperlink" Target="https://educationendowmentfoundation.org.uk/news/how-to-deploy-teaching-assistants-in-your-schoo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endowmentfoundation.org.uk/education-evidence/guidance-reports/digital" TargetMode="External"/><Relationship Id="rId20" Type="http://schemas.openxmlformats.org/officeDocument/2006/relationships/hyperlink" Target="https://educationendowmentfoundation.org.uk/education-evidence/guidance-reports/supporting-pare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whge.org/resources/new-evidence-confirms-the-transformative-power-of-foundational-learning-skills-for-individuals-and-societies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educationendowmentfoundation.org.uk/education-evidence/guidance-reports/digital" TargetMode="External"/><Relationship Id="rId23" Type="http://schemas.openxmlformats.org/officeDocument/2006/relationships/hyperlink" Target="https://educationendowmentfoundation.org.uk/education-evidence/teaching-learning-toolkit/social-and-emotional-learnin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ucl.ac.uk/news/2024/sep/targeted-interventions-add-five-months-progress-students-sen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iot.s3.amazonaws.com/documents/NIOT_mentoring_and_coaching_-_Key_Takeaways.pdf" TargetMode="External"/><Relationship Id="rId22" Type="http://schemas.openxmlformats.org/officeDocument/2006/relationships/hyperlink" Target="https://educationendowmentfoundation.org.uk/education-evidence/teaching-learning-toolkit/parental-engagemen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8106507C7C47A18A55DF54DC6ED4" ma:contentTypeVersion="6" ma:contentTypeDescription="Create a new document." ma:contentTypeScope="" ma:versionID="d5d927353bf310be9a7c193a41d1340c">
  <xsd:schema xmlns:xsd="http://www.w3.org/2001/XMLSchema" xmlns:xs="http://www.w3.org/2001/XMLSchema" xmlns:p="http://schemas.microsoft.com/office/2006/metadata/properties" xmlns:ns2="859ef665-2ef8-4cec-91f4-aa94ce88fd4d" xmlns:ns3="c6dee23d-f9c4-4c59-b7c2-368c952fc1bf" targetNamespace="http://schemas.microsoft.com/office/2006/metadata/properties" ma:root="true" ma:fieldsID="e16b6350c74bd9998a259d8b3c469e02" ns2:_="" ns3:_="">
    <xsd:import namespace="859ef665-2ef8-4cec-91f4-aa94ce88fd4d"/>
    <xsd:import namespace="c6dee23d-f9c4-4c59-b7c2-368c952fc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f665-2ef8-4cec-91f4-aa94ce88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ee23d-f9c4-4c59-b7c2-368c952fc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446D3-96FB-4E46-9409-28595DF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ef665-2ef8-4cec-91f4-aa94ce88fd4d"/>
    <ds:schemaRef ds:uri="c6dee23d-f9c4-4c59-b7c2-368c952fc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5A638-EFDA-4B74-A864-F29D61297C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B2C35-C000-4CC0-828F-954FEE10D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Publishing.TEAM@education.gsi.gov.uk</dc:creator>
  <cp:keywords/>
  <dc:description/>
  <cp:lastModifiedBy>Rebecca Ollerton</cp:lastModifiedBy>
  <cp:revision>2</cp:revision>
  <cp:lastPrinted>2014-09-17T21:26:00Z</cp:lastPrinted>
  <dcterms:created xsi:type="dcterms:W3CDTF">2026-03-25T14:53:00Z</dcterms:created>
  <dcterms:modified xsi:type="dcterms:W3CDTF">2026-03-25T14:53:00Z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0x0101004E2D8106507C7C47A18A55DF54DC6ED4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